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23F7A">
      <w:pPr>
        <w:spacing w:before="100" w:line="418" w:lineRule="exact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5"/>
          <w:position w:val="1"/>
          <w:sz w:val="31"/>
          <w:szCs w:val="31"/>
          <w:lang w:eastAsia="zh-CN"/>
        </w:rPr>
        <w:t>附件</w:t>
      </w:r>
      <w:r>
        <w:rPr>
          <w:rFonts w:ascii="黑体" w:hAnsi="黑体" w:eastAsia="黑体" w:cs="黑体"/>
          <w:spacing w:val="-41"/>
          <w:position w:val="1"/>
          <w:sz w:val="31"/>
          <w:szCs w:val="31"/>
          <w:lang w:eastAsia="zh-CN"/>
        </w:rPr>
        <w:t xml:space="preserve"> </w:t>
      </w:r>
      <w:r>
        <w:rPr>
          <w:rFonts w:ascii="黑体" w:hAnsi="黑体" w:eastAsia="黑体" w:cs="黑体"/>
          <w:spacing w:val="-5"/>
          <w:position w:val="1"/>
          <w:sz w:val="31"/>
          <w:szCs w:val="31"/>
          <w:lang w:eastAsia="zh-CN"/>
        </w:rPr>
        <w:t>1</w:t>
      </w:r>
    </w:p>
    <w:p w14:paraId="3CDDF6DC">
      <w:pPr>
        <w:pStyle w:val="2"/>
        <w:spacing w:before="184" w:line="212" w:lineRule="auto"/>
        <w:ind w:left="1844"/>
        <w:outlineLvl w:val="0"/>
        <w:rPr>
          <w:sz w:val="43"/>
          <w:szCs w:val="43"/>
          <w:lang w:eastAsia="zh-CN"/>
        </w:rPr>
      </w:pPr>
      <w:r>
        <w:rPr>
          <w:sz w:val="43"/>
          <w:szCs w:val="43"/>
          <w:lang w:eastAsia="zh-CN"/>
        </w:rPr>
        <w:t>截至 2024 年末发行的新增政府一般债券情况表</w:t>
      </w:r>
    </w:p>
    <w:p w14:paraId="55D12BD1">
      <w:pPr>
        <w:spacing w:line="263" w:lineRule="auto"/>
        <w:rPr>
          <w:lang w:eastAsia="zh-CN"/>
        </w:rPr>
      </w:pPr>
    </w:p>
    <w:tbl>
      <w:tblPr>
        <w:tblStyle w:val="5"/>
        <w:tblW w:w="4954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9"/>
        <w:gridCol w:w="843"/>
        <w:gridCol w:w="1266"/>
        <w:gridCol w:w="1162"/>
        <w:gridCol w:w="867"/>
        <w:gridCol w:w="1942"/>
        <w:gridCol w:w="1606"/>
        <w:gridCol w:w="1274"/>
        <w:gridCol w:w="1590"/>
        <w:gridCol w:w="1395"/>
        <w:gridCol w:w="1274"/>
        <w:gridCol w:w="1042"/>
        <w:gridCol w:w="1274"/>
        <w:gridCol w:w="856"/>
        <w:gridCol w:w="1245"/>
        <w:gridCol w:w="1386"/>
        <w:gridCol w:w="83"/>
      </w:tblGrid>
      <w:tr w14:paraId="5F8A14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395" w:type="pct"/>
            <w:vMerge w:val="restart"/>
            <w:tcBorders>
              <w:left w:val="single" w:color="000000" w:sz="2" w:space="0"/>
              <w:bottom w:val="nil"/>
            </w:tcBorders>
            <w:textDirection w:val="tbRlV"/>
          </w:tcPr>
          <w:p w14:paraId="564A2D3A">
            <w:pPr>
              <w:spacing w:before="169" w:line="206" w:lineRule="auto"/>
              <w:ind w:left="10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9"/>
                <w:w w:val="117"/>
                <w:sz w:val="24"/>
                <w:szCs w:val="24"/>
              </w:rPr>
              <w:t>部门名称</w:t>
            </w:r>
          </w:p>
        </w:tc>
        <w:tc>
          <w:tcPr>
            <w:tcW w:w="2159" w:type="pct"/>
            <w:gridSpan w:val="7"/>
          </w:tcPr>
          <w:p w14:paraId="15ABA64F">
            <w:pPr>
              <w:spacing w:before="78"/>
              <w:ind w:left="267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债券信息</w:t>
            </w:r>
          </w:p>
        </w:tc>
        <w:tc>
          <w:tcPr>
            <w:tcW w:w="2090" w:type="pct"/>
            <w:gridSpan w:val="7"/>
          </w:tcPr>
          <w:p w14:paraId="5B61FA41">
            <w:pPr>
              <w:spacing w:before="77"/>
              <w:ind w:left="13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债券项目情况</w:t>
            </w:r>
          </w:p>
        </w:tc>
        <w:tc>
          <w:tcPr>
            <w:tcW w:w="354" w:type="pct"/>
            <w:gridSpan w:val="2"/>
            <w:tcBorders>
              <w:bottom w:val="nil"/>
              <w:right w:val="single" w:color="000000" w:sz="2" w:space="0"/>
            </w:tcBorders>
            <w:textDirection w:val="tbRlV"/>
          </w:tcPr>
          <w:p w14:paraId="6148F07A">
            <w:pPr>
              <w:spacing w:before="175" w:line="206" w:lineRule="auto"/>
              <w:ind w:left="13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48"/>
                <w:sz w:val="24"/>
                <w:szCs w:val="24"/>
              </w:rPr>
              <w:t>备注</w:t>
            </w:r>
          </w:p>
        </w:tc>
      </w:tr>
      <w:tr w14:paraId="0BFD47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pct"/>
          <w:trHeight w:val="1445" w:hRule="atLeast"/>
          <w:jc w:val="center"/>
        </w:trPr>
        <w:tc>
          <w:tcPr>
            <w:tcW w:w="395" w:type="pct"/>
            <w:vMerge w:val="continue"/>
            <w:tcBorders>
              <w:top w:val="nil"/>
              <w:left w:val="single" w:color="000000" w:sz="2" w:space="0"/>
              <w:bottom w:val="nil"/>
            </w:tcBorders>
            <w:textDirection w:val="tbRlV"/>
          </w:tcPr>
          <w:p w14:paraId="0B0E4D83">
            <w:pPr>
              <w:pStyle w:val="6"/>
            </w:pPr>
          </w:p>
        </w:tc>
        <w:tc>
          <w:tcPr>
            <w:tcW w:w="203" w:type="pct"/>
            <w:vMerge w:val="restart"/>
            <w:tcBorders>
              <w:bottom w:val="nil"/>
            </w:tcBorders>
            <w:textDirection w:val="tbRlV"/>
          </w:tcPr>
          <w:p w14:paraId="198A82F5">
            <w:pPr>
              <w:spacing w:before="169" w:line="209" w:lineRule="auto"/>
              <w:ind w:left="8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59"/>
                <w:sz w:val="24"/>
                <w:szCs w:val="24"/>
              </w:rPr>
              <w:t>债券名称</w:t>
            </w:r>
          </w:p>
        </w:tc>
        <w:tc>
          <w:tcPr>
            <w:tcW w:w="305" w:type="pct"/>
            <w:vMerge w:val="restart"/>
            <w:tcBorders>
              <w:bottom w:val="nil"/>
            </w:tcBorders>
            <w:textDirection w:val="tbRlV"/>
          </w:tcPr>
          <w:p w14:paraId="75CAA8BC">
            <w:pPr>
              <w:spacing w:before="167" w:line="209" w:lineRule="auto"/>
              <w:ind w:left="8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59"/>
                <w:sz w:val="24"/>
                <w:szCs w:val="24"/>
              </w:rPr>
              <w:t>债券编码</w:t>
            </w:r>
          </w:p>
        </w:tc>
        <w:tc>
          <w:tcPr>
            <w:tcW w:w="280" w:type="pct"/>
            <w:vMerge w:val="restart"/>
            <w:tcBorders>
              <w:bottom w:val="nil"/>
            </w:tcBorders>
            <w:textDirection w:val="tbRlV"/>
          </w:tcPr>
          <w:p w14:paraId="5558CFA4">
            <w:pPr>
              <w:spacing w:before="168" w:line="209" w:lineRule="auto"/>
              <w:ind w:left="8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58"/>
                <w:sz w:val="24"/>
                <w:szCs w:val="24"/>
              </w:rPr>
              <w:t>债券类型</w:t>
            </w:r>
          </w:p>
        </w:tc>
        <w:tc>
          <w:tcPr>
            <w:tcW w:w="209" w:type="pct"/>
            <w:vMerge w:val="restart"/>
            <w:tcBorders>
              <w:bottom w:val="nil"/>
            </w:tcBorders>
          </w:tcPr>
          <w:p w14:paraId="00F25F73">
            <w:pPr>
              <w:pStyle w:val="6"/>
              <w:spacing w:line="290" w:lineRule="auto"/>
            </w:pPr>
          </w:p>
          <w:p w14:paraId="2C708609">
            <w:pPr>
              <w:pStyle w:val="6"/>
              <w:spacing w:line="291" w:lineRule="auto"/>
            </w:pPr>
          </w:p>
          <w:p w14:paraId="3519954F">
            <w:pPr>
              <w:pStyle w:val="6"/>
              <w:spacing w:line="291" w:lineRule="auto"/>
            </w:pPr>
          </w:p>
          <w:p w14:paraId="4E5540A5">
            <w:pPr>
              <w:spacing w:before="78"/>
              <w:ind w:left="1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债券规</w:t>
            </w:r>
          </w:p>
          <w:p w14:paraId="547C5195">
            <w:pPr>
              <w:ind w:left="241" w:right="114" w:hanging="12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5"/>
                <w:sz w:val="24"/>
                <w:szCs w:val="24"/>
              </w:rPr>
              <w:t>模（</w:t>
            </w:r>
            <w:r>
              <w:rPr>
                <w:rFonts w:ascii="黑体" w:hAnsi="黑体" w:eastAsia="黑体" w:cs="黑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5"/>
                <w:sz w:val="24"/>
                <w:szCs w:val="24"/>
              </w:rPr>
              <w:t>万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元</w:t>
            </w:r>
            <w:r>
              <w:rPr>
                <w:rFonts w:ascii="黑体" w:hAnsi="黑体" w:eastAsia="黑体" w:cs="黑体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）</w:t>
            </w:r>
          </w:p>
        </w:tc>
        <w:tc>
          <w:tcPr>
            <w:tcW w:w="468" w:type="pct"/>
            <w:vMerge w:val="restart"/>
            <w:tcBorders>
              <w:bottom w:val="nil"/>
            </w:tcBorders>
          </w:tcPr>
          <w:p w14:paraId="0A6E8667">
            <w:pPr>
              <w:pStyle w:val="6"/>
              <w:spacing w:line="290" w:lineRule="auto"/>
            </w:pPr>
          </w:p>
          <w:p w14:paraId="017C31AC">
            <w:pPr>
              <w:pStyle w:val="6"/>
              <w:spacing w:line="291" w:lineRule="auto"/>
            </w:pPr>
          </w:p>
          <w:p w14:paraId="1089AA96">
            <w:pPr>
              <w:pStyle w:val="6"/>
              <w:spacing w:line="291" w:lineRule="auto"/>
            </w:pPr>
          </w:p>
          <w:p w14:paraId="126B8507">
            <w:pPr>
              <w:spacing w:before="78" w:line="239" w:lineRule="auto"/>
              <w:ind w:left="151" w:right="177" w:firstLine="4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发行时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8"/>
                <w:w w:val="95"/>
                <w:sz w:val="24"/>
                <w:szCs w:val="24"/>
              </w:rPr>
              <w:t>间（</w:t>
            </w:r>
            <w:r>
              <w:rPr>
                <w:rFonts w:ascii="黑体" w:hAnsi="黑体" w:eastAsia="黑体" w:cs="黑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8"/>
                <w:w w:val="95"/>
                <w:sz w:val="24"/>
                <w:szCs w:val="24"/>
              </w:rPr>
              <w:t>年/</w:t>
            </w:r>
          </w:p>
          <w:p w14:paraId="246CF356">
            <w:pPr>
              <w:spacing w:line="242" w:lineRule="auto"/>
              <w:ind w:left="1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8"/>
                <w:sz w:val="24"/>
                <w:szCs w:val="24"/>
              </w:rPr>
              <w:t>月/</w:t>
            </w:r>
            <w:r>
              <w:rPr>
                <w:rFonts w:ascii="黑体" w:hAnsi="黑体" w:eastAsia="黑体" w:cs="黑体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8"/>
                <w:sz w:val="24"/>
                <w:szCs w:val="24"/>
              </w:rPr>
              <w:t>日</w:t>
            </w:r>
            <w:r>
              <w:rPr>
                <w:rFonts w:ascii="黑体" w:hAnsi="黑体" w:eastAsia="黑体" w:cs="黑体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8"/>
                <w:sz w:val="24"/>
                <w:szCs w:val="24"/>
              </w:rPr>
              <w:t>）</w:t>
            </w:r>
          </w:p>
        </w:tc>
        <w:tc>
          <w:tcPr>
            <w:tcW w:w="387" w:type="pct"/>
            <w:vMerge w:val="restart"/>
            <w:tcBorders>
              <w:bottom w:val="nil"/>
            </w:tcBorders>
          </w:tcPr>
          <w:p w14:paraId="4984B123">
            <w:pPr>
              <w:pStyle w:val="6"/>
              <w:spacing w:line="256" w:lineRule="auto"/>
            </w:pPr>
          </w:p>
          <w:p w14:paraId="1DFD47B9">
            <w:pPr>
              <w:pStyle w:val="6"/>
              <w:spacing w:line="256" w:lineRule="auto"/>
            </w:pPr>
          </w:p>
          <w:p w14:paraId="2A8CEB8D">
            <w:pPr>
              <w:pStyle w:val="6"/>
              <w:spacing w:line="257" w:lineRule="auto"/>
            </w:pPr>
          </w:p>
          <w:p w14:paraId="5997D805">
            <w:pPr>
              <w:pStyle w:val="6"/>
              <w:spacing w:line="257" w:lineRule="auto"/>
            </w:pPr>
          </w:p>
          <w:p w14:paraId="1BE1AC15">
            <w:pPr>
              <w:spacing w:before="78" w:line="241" w:lineRule="auto"/>
              <w:ind w:left="160" w:right="134" w:firstLine="5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债券利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率（</w:t>
            </w:r>
            <w:r>
              <w:rPr>
                <w:rFonts w:ascii="黑体" w:hAnsi="黑体" w:eastAsia="黑体" w:cs="黑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%）</w:t>
            </w:r>
          </w:p>
        </w:tc>
        <w:tc>
          <w:tcPr>
            <w:tcW w:w="305" w:type="pct"/>
            <w:vMerge w:val="restart"/>
            <w:tcBorders>
              <w:bottom w:val="nil"/>
            </w:tcBorders>
          </w:tcPr>
          <w:p w14:paraId="116B8C40">
            <w:pPr>
              <w:pStyle w:val="6"/>
              <w:spacing w:line="256" w:lineRule="auto"/>
            </w:pPr>
          </w:p>
          <w:p w14:paraId="3E1CC1E3">
            <w:pPr>
              <w:pStyle w:val="6"/>
              <w:spacing w:line="257" w:lineRule="auto"/>
            </w:pPr>
          </w:p>
          <w:p w14:paraId="0872C845">
            <w:pPr>
              <w:pStyle w:val="6"/>
              <w:spacing w:line="257" w:lineRule="auto"/>
            </w:pPr>
          </w:p>
          <w:p w14:paraId="173CC7A7">
            <w:pPr>
              <w:pStyle w:val="6"/>
              <w:spacing w:line="257" w:lineRule="auto"/>
            </w:pPr>
          </w:p>
          <w:p w14:paraId="319CEB0F">
            <w:pPr>
              <w:spacing w:before="78"/>
              <w:ind w:left="1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债券期限</w:t>
            </w:r>
          </w:p>
          <w:p w14:paraId="37C735E1">
            <w:pPr>
              <w:spacing w:line="241" w:lineRule="auto"/>
              <w:ind w:left="28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1"/>
                <w:sz w:val="24"/>
                <w:szCs w:val="24"/>
              </w:rPr>
              <w:t>（</w:t>
            </w:r>
            <w:r>
              <w:rPr>
                <w:rFonts w:ascii="黑体" w:hAnsi="黑体" w:eastAsia="黑体" w:cs="黑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1"/>
                <w:sz w:val="24"/>
                <w:szCs w:val="24"/>
              </w:rPr>
              <w:t>年</w:t>
            </w:r>
            <w:r>
              <w:rPr>
                <w:rFonts w:ascii="黑体" w:hAnsi="黑体" w:eastAsia="黑体" w:cs="黑体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1"/>
                <w:sz w:val="24"/>
                <w:szCs w:val="24"/>
              </w:rPr>
              <w:t>）</w:t>
            </w:r>
          </w:p>
        </w:tc>
        <w:tc>
          <w:tcPr>
            <w:tcW w:w="383" w:type="pct"/>
            <w:vMerge w:val="restart"/>
            <w:tcBorders>
              <w:bottom w:val="nil"/>
            </w:tcBorders>
            <w:textDirection w:val="tbRlV"/>
          </w:tcPr>
          <w:p w14:paraId="05AF6985">
            <w:pPr>
              <w:spacing w:before="164" w:line="200" w:lineRule="auto"/>
              <w:ind w:left="8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59"/>
                <w:sz w:val="24"/>
                <w:szCs w:val="24"/>
              </w:rPr>
              <w:t>项</w:t>
            </w:r>
            <w:r>
              <w:rPr>
                <w:rFonts w:ascii="黑体" w:hAnsi="黑体" w:eastAsia="黑体" w:cs="黑体"/>
                <w:spacing w:val="59"/>
                <w:position w:val="1"/>
                <w:sz w:val="24"/>
                <w:szCs w:val="24"/>
              </w:rPr>
              <w:t>目</w:t>
            </w:r>
            <w:r>
              <w:rPr>
                <w:rFonts w:ascii="黑体" w:hAnsi="黑体" w:eastAsia="黑体" w:cs="黑体"/>
                <w:spacing w:val="59"/>
                <w:sz w:val="24"/>
                <w:szCs w:val="24"/>
              </w:rPr>
              <w:t>名称</w:t>
            </w:r>
          </w:p>
        </w:tc>
        <w:tc>
          <w:tcPr>
            <w:tcW w:w="336" w:type="pct"/>
            <w:vMerge w:val="restart"/>
            <w:tcBorders>
              <w:bottom w:val="nil"/>
            </w:tcBorders>
            <w:textDirection w:val="tbRlV"/>
          </w:tcPr>
          <w:p w14:paraId="38BFCB4C">
            <w:pPr>
              <w:spacing w:before="165" w:line="204" w:lineRule="auto"/>
              <w:ind w:left="48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0"/>
                <w:w w:val="114"/>
                <w:sz w:val="24"/>
                <w:szCs w:val="24"/>
              </w:rPr>
              <w:t>项</w:t>
            </w:r>
            <w:r>
              <w:rPr>
                <w:rFonts w:ascii="黑体" w:hAnsi="黑体" w:eastAsia="黑体" w:cs="黑体"/>
                <w:spacing w:val="30"/>
                <w:w w:val="114"/>
                <w:position w:val="1"/>
                <w:sz w:val="24"/>
                <w:szCs w:val="24"/>
              </w:rPr>
              <w:t>目</w:t>
            </w:r>
            <w:r>
              <w:rPr>
                <w:rFonts w:ascii="黑体" w:hAnsi="黑体" w:eastAsia="黑体" w:cs="黑体"/>
                <w:spacing w:val="30"/>
                <w:w w:val="114"/>
                <w:sz w:val="24"/>
                <w:szCs w:val="24"/>
              </w:rPr>
              <w:t>所在地区</w:t>
            </w:r>
          </w:p>
        </w:tc>
        <w:tc>
          <w:tcPr>
            <w:tcW w:w="558" w:type="pct"/>
            <w:gridSpan w:val="2"/>
          </w:tcPr>
          <w:p w14:paraId="4B160184">
            <w:pPr>
              <w:pStyle w:val="6"/>
              <w:spacing w:line="435" w:lineRule="auto"/>
            </w:pPr>
          </w:p>
          <w:p w14:paraId="29832995">
            <w:pPr>
              <w:spacing w:before="78"/>
              <w:ind w:left="11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项目总投</w:t>
            </w:r>
          </w:p>
          <w:p w14:paraId="177AE190">
            <w:pPr>
              <w:ind w:left="47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资</w:t>
            </w:r>
          </w:p>
        </w:tc>
        <w:tc>
          <w:tcPr>
            <w:tcW w:w="513" w:type="pct"/>
            <w:gridSpan w:val="2"/>
          </w:tcPr>
          <w:p w14:paraId="7D90B99C">
            <w:pPr>
              <w:pStyle w:val="6"/>
              <w:spacing w:line="435" w:lineRule="auto"/>
            </w:pPr>
          </w:p>
          <w:p w14:paraId="6EBDBD7B">
            <w:pPr>
              <w:spacing w:before="78"/>
              <w:ind w:left="11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项目已实</w:t>
            </w:r>
          </w:p>
          <w:p w14:paraId="6B34630B">
            <w:pPr>
              <w:ind w:left="23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现投资</w:t>
            </w:r>
          </w:p>
        </w:tc>
        <w:tc>
          <w:tcPr>
            <w:tcW w:w="299" w:type="pct"/>
            <w:vMerge w:val="restart"/>
            <w:tcBorders>
              <w:bottom w:val="nil"/>
            </w:tcBorders>
            <w:textDirection w:val="tbRlV"/>
          </w:tcPr>
          <w:p w14:paraId="169DDF47">
            <w:pPr>
              <w:spacing w:before="165" w:line="210" w:lineRule="auto"/>
              <w:ind w:left="4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26"/>
                <w:w w:val="116"/>
                <w:sz w:val="24"/>
                <w:szCs w:val="24"/>
              </w:rPr>
              <w:t>建设进度及运营情况</w:t>
            </w:r>
          </w:p>
        </w:tc>
        <w:tc>
          <w:tcPr>
            <w:tcW w:w="334" w:type="pct"/>
            <w:vMerge w:val="restart"/>
            <w:tcBorders>
              <w:top w:val="nil"/>
              <w:right w:val="single" w:color="000000" w:sz="2" w:space="0"/>
            </w:tcBorders>
            <w:textDirection w:val="tbRlV"/>
          </w:tcPr>
          <w:p w14:paraId="1D9D9421">
            <w:pPr>
              <w:pStyle w:val="6"/>
            </w:pPr>
          </w:p>
        </w:tc>
      </w:tr>
      <w:tr w14:paraId="42CE9B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pct"/>
          <w:trHeight w:val="3017" w:hRule="atLeast"/>
          <w:jc w:val="center"/>
        </w:trPr>
        <w:tc>
          <w:tcPr>
            <w:tcW w:w="395" w:type="pct"/>
            <w:vMerge w:val="continue"/>
            <w:tcBorders>
              <w:top w:val="nil"/>
              <w:left w:val="single" w:color="000000" w:sz="2" w:space="0"/>
            </w:tcBorders>
            <w:textDirection w:val="tbRlV"/>
          </w:tcPr>
          <w:p w14:paraId="26F6175C">
            <w:pPr>
              <w:pStyle w:val="6"/>
            </w:pPr>
          </w:p>
        </w:tc>
        <w:tc>
          <w:tcPr>
            <w:tcW w:w="203" w:type="pct"/>
            <w:vMerge w:val="continue"/>
            <w:tcBorders>
              <w:top w:val="nil"/>
            </w:tcBorders>
            <w:textDirection w:val="tbRlV"/>
          </w:tcPr>
          <w:p w14:paraId="1CDE8257">
            <w:pPr>
              <w:pStyle w:val="6"/>
            </w:pPr>
          </w:p>
        </w:tc>
        <w:tc>
          <w:tcPr>
            <w:tcW w:w="305" w:type="pct"/>
            <w:vMerge w:val="continue"/>
            <w:tcBorders>
              <w:top w:val="nil"/>
            </w:tcBorders>
            <w:textDirection w:val="tbRlV"/>
          </w:tcPr>
          <w:p w14:paraId="70605014">
            <w:pPr>
              <w:pStyle w:val="6"/>
            </w:pPr>
          </w:p>
        </w:tc>
        <w:tc>
          <w:tcPr>
            <w:tcW w:w="280" w:type="pct"/>
            <w:vMerge w:val="continue"/>
            <w:tcBorders>
              <w:top w:val="nil"/>
            </w:tcBorders>
            <w:textDirection w:val="tbRlV"/>
          </w:tcPr>
          <w:p w14:paraId="33E7DFFA">
            <w:pPr>
              <w:pStyle w:val="6"/>
            </w:pPr>
          </w:p>
        </w:tc>
        <w:tc>
          <w:tcPr>
            <w:tcW w:w="209" w:type="pct"/>
            <w:vMerge w:val="continue"/>
            <w:tcBorders>
              <w:top w:val="nil"/>
            </w:tcBorders>
          </w:tcPr>
          <w:p w14:paraId="40BDAC1D">
            <w:pPr>
              <w:pStyle w:val="6"/>
            </w:pPr>
          </w:p>
        </w:tc>
        <w:tc>
          <w:tcPr>
            <w:tcW w:w="468" w:type="pct"/>
            <w:vMerge w:val="continue"/>
            <w:tcBorders>
              <w:top w:val="nil"/>
            </w:tcBorders>
          </w:tcPr>
          <w:p w14:paraId="4CDF5F90">
            <w:pPr>
              <w:pStyle w:val="6"/>
            </w:pPr>
          </w:p>
        </w:tc>
        <w:tc>
          <w:tcPr>
            <w:tcW w:w="387" w:type="pct"/>
            <w:vMerge w:val="continue"/>
            <w:tcBorders>
              <w:top w:val="nil"/>
            </w:tcBorders>
          </w:tcPr>
          <w:p w14:paraId="6CF6B9EE">
            <w:pPr>
              <w:pStyle w:val="6"/>
            </w:pPr>
          </w:p>
        </w:tc>
        <w:tc>
          <w:tcPr>
            <w:tcW w:w="305" w:type="pct"/>
            <w:vMerge w:val="continue"/>
            <w:tcBorders>
              <w:top w:val="nil"/>
            </w:tcBorders>
          </w:tcPr>
          <w:p w14:paraId="22958DF7">
            <w:pPr>
              <w:pStyle w:val="6"/>
            </w:pPr>
          </w:p>
        </w:tc>
        <w:tc>
          <w:tcPr>
            <w:tcW w:w="383" w:type="pct"/>
            <w:vMerge w:val="continue"/>
            <w:tcBorders>
              <w:top w:val="nil"/>
            </w:tcBorders>
            <w:textDirection w:val="tbRlV"/>
          </w:tcPr>
          <w:p w14:paraId="3AA2378C">
            <w:pPr>
              <w:pStyle w:val="6"/>
            </w:pPr>
          </w:p>
        </w:tc>
        <w:tc>
          <w:tcPr>
            <w:tcW w:w="336" w:type="pct"/>
            <w:vMerge w:val="continue"/>
            <w:tcBorders>
              <w:top w:val="nil"/>
            </w:tcBorders>
            <w:textDirection w:val="tbRlV"/>
          </w:tcPr>
          <w:p w14:paraId="17EE7717">
            <w:pPr>
              <w:pStyle w:val="6"/>
            </w:pPr>
          </w:p>
        </w:tc>
        <w:tc>
          <w:tcPr>
            <w:tcW w:w="307" w:type="pct"/>
            <w:tcBorders>
              <w:top w:val="nil"/>
              <w:right w:val="single" w:color="000000" w:sz="2" w:space="0"/>
            </w:tcBorders>
          </w:tcPr>
          <w:p w14:paraId="4DAAAA25">
            <w:pPr>
              <w:pStyle w:val="6"/>
            </w:pPr>
          </w:p>
        </w:tc>
        <w:tc>
          <w:tcPr>
            <w:tcW w:w="251" w:type="pct"/>
            <w:tcBorders>
              <w:left w:val="single" w:color="000000" w:sz="2" w:space="0"/>
            </w:tcBorders>
          </w:tcPr>
          <w:p w14:paraId="7DEB994B">
            <w:pPr>
              <w:spacing w:before="147" w:line="238" w:lineRule="auto"/>
              <w:ind w:left="13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其中：</w:t>
            </w:r>
          </w:p>
          <w:p w14:paraId="6D53631D">
            <w:pPr>
              <w:spacing w:line="239" w:lineRule="auto"/>
              <w:ind w:left="12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债券资</w:t>
            </w:r>
          </w:p>
          <w:p w14:paraId="357BB40F">
            <w:pPr>
              <w:ind w:left="12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金安排</w:t>
            </w:r>
          </w:p>
        </w:tc>
        <w:tc>
          <w:tcPr>
            <w:tcW w:w="307" w:type="pct"/>
            <w:tcBorders>
              <w:top w:val="nil"/>
            </w:tcBorders>
          </w:tcPr>
          <w:p w14:paraId="6E2D0789">
            <w:pPr>
              <w:pStyle w:val="6"/>
            </w:pPr>
          </w:p>
        </w:tc>
        <w:tc>
          <w:tcPr>
            <w:tcW w:w="206" w:type="pct"/>
          </w:tcPr>
          <w:p w14:paraId="77EA95C2">
            <w:pPr>
              <w:spacing w:before="147" w:line="238" w:lineRule="auto"/>
              <w:ind w:left="1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其中：</w:t>
            </w:r>
          </w:p>
          <w:p w14:paraId="1FE55346">
            <w:pPr>
              <w:spacing w:line="239" w:lineRule="auto"/>
              <w:ind w:left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债券资</w:t>
            </w:r>
          </w:p>
          <w:p w14:paraId="320F5339">
            <w:pPr>
              <w:ind w:left="12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金安排</w:t>
            </w:r>
          </w:p>
        </w:tc>
        <w:tc>
          <w:tcPr>
            <w:tcW w:w="299" w:type="pct"/>
            <w:vMerge w:val="continue"/>
            <w:tcBorders>
              <w:top w:val="nil"/>
            </w:tcBorders>
            <w:textDirection w:val="tbRlV"/>
          </w:tcPr>
          <w:p w14:paraId="42984278">
            <w:pPr>
              <w:pStyle w:val="6"/>
            </w:pPr>
          </w:p>
        </w:tc>
        <w:tc>
          <w:tcPr>
            <w:tcW w:w="334" w:type="pct"/>
            <w:vMerge w:val="continue"/>
            <w:tcBorders>
              <w:top w:val="nil"/>
              <w:right w:val="single" w:color="000000" w:sz="2" w:space="0"/>
            </w:tcBorders>
            <w:textDirection w:val="tbRlV"/>
          </w:tcPr>
          <w:p w14:paraId="69F921AC">
            <w:pPr>
              <w:pStyle w:val="6"/>
            </w:pPr>
          </w:p>
        </w:tc>
      </w:tr>
      <w:tr w14:paraId="3747EB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pct"/>
          <w:trHeight w:val="3834" w:hRule="atLeast"/>
          <w:jc w:val="center"/>
        </w:trPr>
        <w:tc>
          <w:tcPr>
            <w:tcW w:w="395" w:type="pct"/>
            <w:tcBorders>
              <w:left w:val="single" w:color="000000" w:sz="2" w:space="0"/>
            </w:tcBorders>
          </w:tcPr>
          <w:p w14:paraId="0AB7A05D"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广西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钦州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农业学校</w:t>
            </w:r>
          </w:p>
        </w:tc>
        <w:tc>
          <w:tcPr>
            <w:tcW w:w="203" w:type="pct"/>
          </w:tcPr>
          <w:p w14:paraId="51B4481A"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2024年广西壮族自治区政府一般债券（一期）</w:t>
            </w:r>
          </w:p>
        </w:tc>
        <w:tc>
          <w:tcPr>
            <w:tcW w:w="305" w:type="pct"/>
          </w:tcPr>
          <w:p w14:paraId="4506FE00"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2405096</w:t>
            </w:r>
          </w:p>
        </w:tc>
        <w:tc>
          <w:tcPr>
            <w:tcW w:w="280" w:type="pct"/>
          </w:tcPr>
          <w:p w14:paraId="3E2EECEE"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一般债</w:t>
            </w:r>
          </w:p>
        </w:tc>
        <w:tc>
          <w:tcPr>
            <w:tcW w:w="209" w:type="pct"/>
          </w:tcPr>
          <w:p w14:paraId="3D3D5C69">
            <w:pPr>
              <w:pStyle w:val="6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1994</w:t>
            </w:r>
          </w:p>
        </w:tc>
        <w:tc>
          <w:tcPr>
            <w:tcW w:w="468" w:type="pct"/>
          </w:tcPr>
          <w:p w14:paraId="773E58C7"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2024-02-21</w:t>
            </w:r>
          </w:p>
        </w:tc>
        <w:tc>
          <w:tcPr>
            <w:tcW w:w="387" w:type="pct"/>
          </w:tcPr>
          <w:p w14:paraId="68488CB1"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2.53</w:t>
            </w:r>
          </w:p>
        </w:tc>
        <w:tc>
          <w:tcPr>
            <w:tcW w:w="305" w:type="pct"/>
          </w:tcPr>
          <w:p w14:paraId="3365B32C"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83" w:type="pct"/>
          </w:tcPr>
          <w:p w14:paraId="4F356A48">
            <w:pPr>
              <w:pStyle w:val="6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广西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钦州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农业学校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实训综合楼项目</w:t>
            </w:r>
          </w:p>
        </w:tc>
        <w:tc>
          <w:tcPr>
            <w:tcW w:w="336" w:type="pct"/>
          </w:tcPr>
          <w:p w14:paraId="5309E66A"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广西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州市</w:t>
            </w:r>
          </w:p>
        </w:tc>
        <w:tc>
          <w:tcPr>
            <w:tcW w:w="307" w:type="pct"/>
          </w:tcPr>
          <w:p w14:paraId="24E25900">
            <w:pPr>
              <w:pStyle w:val="6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3735.17</w:t>
            </w:r>
          </w:p>
        </w:tc>
        <w:tc>
          <w:tcPr>
            <w:tcW w:w="251" w:type="pct"/>
          </w:tcPr>
          <w:p w14:paraId="5D8E6868">
            <w:pPr>
              <w:pStyle w:val="6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1994</w:t>
            </w:r>
          </w:p>
        </w:tc>
        <w:tc>
          <w:tcPr>
            <w:tcW w:w="307" w:type="pct"/>
          </w:tcPr>
          <w:p w14:paraId="02CBDCB3">
            <w:pPr>
              <w:pStyle w:val="6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3210.12</w:t>
            </w:r>
          </w:p>
        </w:tc>
        <w:tc>
          <w:tcPr>
            <w:tcW w:w="206" w:type="pct"/>
          </w:tcPr>
          <w:p w14:paraId="6075852D">
            <w:pPr>
              <w:pStyle w:val="6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1980.51</w:t>
            </w:r>
          </w:p>
        </w:tc>
        <w:tc>
          <w:tcPr>
            <w:tcW w:w="299" w:type="pct"/>
          </w:tcPr>
          <w:p w14:paraId="5DC5D77F"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项目已在202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开工建设，预计2025年9月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前完工。</w:t>
            </w:r>
          </w:p>
        </w:tc>
        <w:tc>
          <w:tcPr>
            <w:tcW w:w="334" w:type="pct"/>
            <w:tcBorders>
              <w:right w:val="single" w:color="000000" w:sz="2" w:space="0"/>
            </w:tcBorders>
          </w:tcPr>
          <w:p w14:paraId="4C3789BC">
            <w:pPr>
              <w:pStyle w:val="6"/>
              <w:rPr>
                <w:lang w:eastAsia="zh-CN"/>
              </w:rPr>
            </w:pPr>
          </w:p>
        </w:tc>
      </w:tr>
    </w:tbl>
    <w:p w14:paraId="3521C489">
      <w:pPr>
        <w:spacing w:before="92"/>
        <w:rPr>
          <w:lang w:eastAsia="zh-CN"/>
        </w:rPr>
      </w:pPr>
    </w:p>
    <w:p w14:paraId="3AA2D970">
      <w:pPr>
        <w:spacing w:line="305" w:lineRule="auto"/>
        <w:rPr>
          <w:lang w:eastAsia="zh-CN"/>
        </w:rPr>
      </w:pPr>
    </w:p>
    <w:p w14:paraId="5B7CA96E">
      <w:pPr>
        <w:rPr>
          <w:lang w:eastAsia="zh-CN"/>
        </w:rPr>
      </w:pPr>
    </w:p>
    <w:p w14:paraId="687F3DDA">
      <w:pPr>
        <w:spacing w:before="91" w:line="239" w:lineRule="auto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注：1.</w:t>
      </w:r>
      <w:r>
        <w:rPr>
          <w:rFonts w:ascii="仿宋" w:hAnsi="仿宋" w:eastAsia="仿宋" w:cs="仿宋"/>
          <w:spacing w:val="-66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本表由使用一般债券资金的部门逐笔填列后于每年6</w:t>
      </w:r>
      <w:r>
        <w:rPr>
          <w:rFonts w:ascii="仿宋" w:hAnsi="仿宋" w:eastAsia="仿宋" w:cs="仿宋"/>
          <w:spacing w:val="-39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月底前公开，本次反映</w:t>
      </w:r>
      <w:r>
        <w:rPr>
          <w:rFonts w:ascii="仿宋" w:hAnsi="仿宋" w:eastAsia="仿宋" w:cs="仿宋"/>
          <w:spacing w:val="-57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2023-20</w:t>
      </w:r>
      <w:r>
        <w:rPr>
          <w:rFonts w:ascii="仿宋" w:hAnsi="仿宋" w:eastAsia="仿宋" w:cs="仿宋"/>
          <w:spacing w:val="-5"/>
          <w:sz w:val="28"/>
          <w:szCs w:val="28"/>
          <w:lang w:eastAsia="zh-CN"/>
        </w:rPr>
        <w:t>24</w:t>
      </w:r>
      <w:r>
        <w:rPr>
          <w:rFonts w:ascii="仿宋" w:hAnsi="仿宋" w:eastAsia="仿宋" w:cs="仿宋"/>
          <w:spacing w:val="-64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  <w:lang w:eastAsia="zh-CN"/>
        </w:rPr>
        <w:t>年末一</w:t>
      </w:r>
      <w:r>
        <w:rPr>
          <w:rFonts w:ascii="仿宋" w:hAnsi="仿宋" w:eastAsia="仿宋" w:cs="仿宋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  <w:lang w:eastAsia="zh-CN"/>
        </w:rPr>
        <w:t>般债券及对应项目情况。</w:t>
      </w:r>
    </w:p>
    <w:p w14:paraId="162B5E16">
      <w:pPr>
        <w:spacing w:before="1" w:line="238" w:lineRule="auto"/>
        <w:rPr>
          <w:lang w:eastAsia="zh-CN"/>
        </w:rPr>
      </w:pPr>
      <w:r>
        <w:rPr>
          <w:rFonts w:ascii="仿宋" w:hAnsi="仿宋" w:eastAsia="仿宋" w:cs="仿宋"/>
          <w:spacing w:val="-5"/>
          <w:sz w:val="28"/>
          <w:szCs w:val="28"/>
          <w:lang w:eastAsia="zh-CN"/>
        </w:rPr>
        <w:t>2.</w:t>
      </w:r>
      <w:r>
        <w:rPr>
          <w:rFonts w:ascii="仿宋" w:hAnsi="仿宋" w:eastAsia="仿宋" w:cs="仿宋"/>
          <w:spacing w:val="-54"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  <w:lang w:eastAsia="zh-CN"/>
        </w:rPr>
        <w:t>项目所在地区按照标准行政区划名称填写。</w:t>
      </w:r>
    </w:p>
    <w:p w14:paraId="731C63D3">
      <w:pPr>
        <w:kinsoku/>
        <w:autoSpaceDE/>
        <w:autoSpaceDN/>
        <w:adjustRightInd/>
        <w:snapToGrid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666F36C7">
      <w:pPr>
        <w:rPr>
          <w:lang w:eastAsia="zh-CN"/>
        </w:rPr>
      </w:pPr>
    </w:p>
    <w:p w14:paraId="72144CC1">
      <w:pPr>
        <w:spacing w:before="100" w:line="418" w:lineRule="exact"/>
        <w:ind w:left="146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29"/>
          <w:position w:val="1"/>
          <w:sz w:val="31"/>
          <w:szCs w:val="31"/>
          <w:lang w:eastAsia="zh-CN"/>
        </w:rPr>
        <w:t>附件3</w:t>
      </w:r>
    </w:p>
    <w:p w14:paraId="4955A0B3">
      <w:pPr>
        <w:pStyle w:val="2"/>
        <w:spacing w:before="184" w:line="183" w:lineRule="auto"/>
        <w:ind w:left="2426" w:leftChars="344" w:hanging="1704" w:hangingChars="400"/>
        <w:outlineLvl w:val="1"/>
        <w:rPr>
          <w:sz w:val="43"/>
          <w:szCs w:val="43"/>
          <w:lang w:eastAsia="zh-CN"/>
        </w:rPr>
      </w:pPr>
      <w:r>
        <w:rPr>
          <w:spacing w:val="-2"/>
          <w:sz w:val="43"/>
          <w:szCs w:val="43"/>
          <w:lang w:eastAsia="zh-CN"/>
        </w:rPr>
        <w:t>截至 2024 年末发行的新增政府一般债券</w:t>
      </w:r>
      <w:r>
        <w:rPr>
          <w:spacing w:val="8"/>
          <w:sz w:val="43"/>
          <w:szCs w:val="43"/>
          <w:lang w:eastAsia="zh-CN"/>
        </w:rPr>
        <w:t>资金收支情况表</w:t>
      </w:r>
    </w:p>
    <w:p w14:paraId="70463530">
      <w:pPr>
        <w:spacing w:before="140" w:line="223" w:lineRule="auto"/>
        <w:ind w:firstLine="6678" w:firstLineChars="21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单位：亿元</w:t>
      </w:r>
    </w:p>
    <w:tbl>
      <w:tblPr>
        <w:tblStyle w:val="5"/>
        <w:tblW w:w="91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1474"/>
        <w:gridCol w:w="1589"/>
        <w:gridCol w:w="3124"/>
        <w:gridCol w:w="2031"/>
      </w:tblGrid>
      <w:tr w14:paraId="26FD0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00" w:hRule="atLeast"/>
        </w:trPr>
        <w:tc>
          <w:tcPr>
            <w:tcW w:w="903" w:type="dxa"/>
            <w:vMerge w:val="restart"/>
            <w:tcBorders>
              <w:bottom w:val="nil"/>
            </w:tcBorders>
          </w:tcPr>
          <w:p w14:paraId="48A3538A">
            <w:pPr>
              <w:spacing w:before="30" w:line="242" w:lineRule="auto"/>
              <w:ind w:left="12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序号</w:t>
            </w:r>
          </w:p>
        </w:tc>
        <w:tc>
          <w:tcPr>
            <w:tcW w:w="3063" w:type="dxa"/>
            <w:gridSpan w:val="2"/>
          </w:tcPr>
          <w:p w14:paraId="7ED6F2D2">
            <w:pPr>
              <w:spacing w:before="30" w:line="241" w:lineRule="auto"/>
              <w:ind w:left="122" w:right="102" w:hanging="5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spacing w:val="3"/>
                <w:sz w:val="22"/>
                <w:szCs w:val="22"/>
                <w:lang w:eastAsia="zh-CN"/>
              </w:rPr>
              <w:t>截至</w:t>
            </w:r>
            <w:r>
              <w:rPr>
                <w:rFonts w:ascii="仿宋" w:hAnsi="仿宋" w:eastAsia="仿宋" w:cs="仿宋"/>
                <w:spacing w:val="-24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2"/>
                <w:szCs w:val="22"/>
                <w:lang w:eastAsia="zh-CN"/>
              </w:rPr>
              <w:t>2024</w:t>
            </w:r>
            <w:r>
              <w:rPr>
                <w:rFonts w:ascii="仿宋" w:hAnsi="仿宋" w:eastAsia="仿宋" w:cs="仿宋"/>
                <w:spacing w:val="-42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2"/>
                <w:szCs w:val="22"/>
                <w:lang w:eastAsia="zh-CN"/>
              </w:rPr>
              <w:t>年末新增一般债券</w:t>
            </w:r>
            <w:r>
              <w:rPr>
                <w:rFonts w:ascii="仿宋" w:hAnsi="仿宋" w:eastAsia="仿宋" w:cs="仿宋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  <w:lang w:eastAsia="zh-CN"/>
              </w:rPr>
              <w:t>资金收入</w:t>
            </w:r>
          </w:p>
        </w:tc>
        <w:tc>
          <w:tcPr>
            <w:tcW w:w="5155" w:type="dxa"/>
            <w:gridSpan w:val="2"/>
          </w:tcPr>
          <w:p w14:paraId="72D511DB">
            <w:pPr>
              <w:spacing w:before="31"/>
              <w:ind w:left="119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spacing w:val="1"/>
                <w:sz w:val="22"/>
                <w:szCs w:val="22"/>
                <w:lang w:eastAsia="zh-CN"/>
              </w:rPr>
              <w:t>截至2024</w:t>
            </w:r>
            <w:r>
              <w:rPr>
                <w:rFonts w:ascii="仿宋" w:hAnsi="仿宋" w:eastAsia="仿宋" w:cs="仿宋"/>
                <w:spacing w:val="-33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2"/>
                <w:szCs w:val="22"/>
                <w:lang w:eastAsia="zh-CN"/>
              </w:rPr>
              <w:t>年末新增一般债券资金安排的支出</w:t>
            </w:r>
          </w:p>
        </w:tc>
      </w:tr>
      <w:tr w14:paraId="11592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03" w:type="dxa"/>
            <w:vMerge w:val="continue"/>
            <w:tcBorders>
              <w:top w:val="nil"/>
            </w:tcBorders>
          </w:tcPr>
          <w:p w14:paraId="71FF9A88">
            <w:pPr>
              <w:pStyle w:val="6"/>
              <w:rPr>
                <w:lang w:eastAsia="zh-CN"/>
              </w:rPr>
            </w:pPr>
          </w:p>
        </w:tc>
        <w:tc>
          <w:tcPr>
            <w:tcW w:w="1474" w:type="dxa"/>
          </w:tcPr>
          <w:p w14:paraId="43130DD8">
            <w:pPr>
              <w:spacing w:before="26"/>
              <w:ind w:left="11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债券名称</w:t>
            </w:r>
          </w:p>
        </w:tc>
        <w:tc>
          <w:tcPr>
            <w:tcW w:w="1589" w:type="dxa"/>
          </w:tcPr>
          <w:p w14:paraId="1030E75D">
            <w:pPr>
              <w:spacing w:before="42" w:line="201" w:lineRule="auto"/>
              <w:ind w:left="12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金额</w:t>
            </w:r>
          </w:p>
        </w:tc>
        <w:tc>
          <w:tcPr>
            <w:tcW w:w="3124" w:type="dxa"/>
          </w:tcPr>
          <w:p w14:paraId="5197C571">
            <w:pPr>
              <w:spacing w:before="26" w:line="241" w:lineRule="auto"/>
              <w:ind w:left="12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支出功能分类</w:t>
            </w:r>
          </w:p>
        </w:tc>
        <w:tc>
          <w:tcPr>
            <w:tcW w:w="2031" w:type="dxa"/>
          </w:tcPr>
          <w:p w14:paraId="58FFC011">
            <w:pPr>
              <w:spacing w:before="42" w:line="201" w:lineRule="auto"/>
              <w:ind w:left="1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金额</w:t>
            </w:r>
          </w:p>
        </w:tc>
      </w:tr>
      <w:tr w14:paraId="483FA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903" w:type="dxa"/>
          </w:tcPr>
          <w:p w14:paraId="3542AE07">
            <w:pPr>
              <w:spacing w:before="27" w:line="213" w:lineRule="auto"/>
              <w:ind w:left="1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合计</w:t>
            </w:r>
          </w:p>
        </w:tc>
        <w:tc>
          <w:tcPr>
            <w:tcW w:w="1474" w:type="dxa"/>
            <w:vAlign w:val="center"/>
          </w:tcPr>
          <w:p w14:paraId="1C2CD79F">
            <w:pPr>
              <w:pStyle w:val="6"/>
              <w:jc w:val="center"/>
            </w:pPr>
          </w:p>
        </w:tc>
        <w:tc>
          <w:tcPr>
            <w:tcW w:w="1589" w:type="dxa"/>
            <w:vAlign w:val="center"/>
          </w:tcPr>
          <w:p w14:paraId="0655E573">
            <w:pPr>
              <w:pStyle w:val="6"/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0.1994</w:t>
            </w:r>
          </w:p>
        </w:tc>
        <w:tc>
          <w:tcPr>
            <w:tcW w:w="3124" w:type="dxa"/>
          </w:tcPr>
          <w:p w14:paraId="4BD2B9F3">
            <w:pPr>
              <w:pStyle w:val="6"/>
            </w:pPr>
          </w:p>
        </w:tc>
        <w:tc>
          <w:tcPr>
            <w:tcW w:w="2031" w:type="dxa"/>
          </w:tcPr>
          <w:p w14:paraId="10244631">
            <w:pPr>
              <w:pStyle w:val="6"/>
            </w:pPr>
          </w:p>
        </w:tc>
      </w:tr>
      <w:tr w14:paraId="04F17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03" w:type="dxa"/>
          </w:tcPr>
          <w:p w14:paraId="11D8D0D8">
            <w:pPr>
              <w:spacing w:before="26" w:line="313" w:lineRule="exact"/>
              <w:ind w:left="13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22"/>
                <w:szCs w:val="22"/>
              </w:rPr>
              <w:t>1</w:t>
            </w:r>
          </w:p>
        </w:tc>
        <w:tc>
          <w:tcPr>
            <w:tcW w:w="1474" w:type="dxa"/>
            <w:vAlign w:val="center"/>
          </w:tcPr>
          <w:p w14:paraId="79BB9B8C">
            <w:pPr>
              <w:pStyle w:val="6"/>
              <w:jc w:val="center"/>
              <w:rPr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2024年广西壮族自治区政府一般债券（一期）</w:t>
            </w:r>
          </w:p>
        </w:tc>
        <w:tc>
          <w:tcPr>
            <w:tcW w:w="1589" w:type="dxa"/>
            <w:vAlign w:val="center"/>
          </w:tcPr>
          <w:p w14:paraId="3C851740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0.1994</w:t>
            </w:r>
          </w:p>
        </w:tc>
        <w:tc>
          <w:tcPr>
            <w:tcW w:w="3124" w:type="dxa"/>
          </w:tcPr>
          <w:p w14:paraId="72BF8A76">
            <w:pPr>
              <w:spacing w:before="26" w:line="242" w:lineRule="auto"/>
              <w:ind w:left="1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>201一般公共服务支出</w:t>
            </w:r>
          </w:p>
        </w:tc>
        <w:tc>
          <w:tcPr>
            <w:tcW w:w="2031" w:type="dxa"/>
          </w:tcPr>
          <w:p w14:paraId="173AEC92">
            <w:pPr>
              <w:pStyle w:val="6"/>
            </w:pPr>
          </w:p>
        </w:tc>
      </w:tr>
      <w:tr w14:paraId="7ACA3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03" w:type="dxa"/>
          </w:tcPr>
          <w:p w14:paraId="4621E85E">
            <w:pPr>
              <w:spacing w:before="27" w:line="312" w:lineRule="exact"/>
              <w:ind w:left="1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position w:val="2"/>
                <w:sz w:val="22"/>
                <w:szCs w:val="22"/>
              </w:rPr>
              <w:t>2</w:t>
            </w:r>
          </w:p>
        </w:tc>
        <w:tc>
          <w:tcPr>
            <w:tcW w:w="1474" w:type="dxa"/>
          </w:tcPr>
          <w:p w14:paraId="11C5AD58">
            <w:pPr>
              <w:pStyle w:val="6"/>
            </w:pPr>
          </w:p>
        </w:tc>
        <w:tc>
          <w:tcPr>
            <w:tcW w:w="1589" w:type="dxa"/>
          </w:tcPr>
          <w:p w14:paraId="63F152A3">
            <w:pPr>
              <w:pStyle w:val="6"/>
            </w:pPr>
          </w:p>
        </w:tc>
        <w:tc>
          <w:tcPr>
            <w:tcW w:w="3124" w:type="dxa"/>
          </w:tcPr>
          <w:p w14:paraId="75DABFCA">
            <w:pPr>
              <w:spacing w:before="27" w:line="289" w:lineRule="exact"/>
              <w:ind w:left="1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position w:val="1"/>
                <w:sz w:val="22"/>
                <w:szCs w:val="22"/>
              </w:rPr>
              <w:t>202</w:t>
            </w:r>
            <w:r>
              <w:rPr>
                <w:rFonts w:ascii="仿宋" w:hAnsi="仿宋" w:eastAsia="仿宋" w:cs="仿宋"/>
                <w:spacing w:val="-2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position w:val="1"/>
                <w:sz w:val="22"/>
                <w:szCs w:val="22"/>
              </w:rPr>
              <w:t>外交支出</w:t>
            </w:r>
          </w:p>
        </w:tc>
        <w:tc>
          <w:tcPr>
            <w:tcW w:w="2031" w:type="dxa"/>
          </w:tcPr>
          <w:p w14:paraId="2DEF4A9A">
            <w:pPr>
              <w:pStyle w:val="6"/>
            </w:pPr>
          </w:p>
        </w:tc>
      </w:tr>
      <w:tr w14:paraId="07709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03" w:type="dxa"/>
          </w:tcPr>
          <w:p w14:paraId="2618E07D">
            <w:pPr>
              <w:spacing w:before="28" w:line="310" w:lineRule="exact"/>
              <w:ind w:left="11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position w:val="2"/>
                <w:sz w:val="22"/>
                <w:szCs w:val="22"/>
              </w:rPr>
              <w:t>3</w:t>
            </w:r>
          </w:p>
        </w:tc>
        <w:tc>
          <w:tcPr>
            <w:tcW w:w="1474" w:type="dxa"/>
          </w:tcPr>
          <w:p w14:paraId="2D00052C">
            <w:pPr>
              <w:pStyle w:val="6"/>
            </w:pPr>
          </w:p>
        </w:tc>
        <w:tc>
          <w:tcPr>
            <w:tcW w:w="1589" w:type="dxa"/>
          </w:tcPr>
          <w:p w14:paraId="3E282317">
            <w:pPr>
              <w:pStyle w:val="6"/>
            </w:pPr>
          </w:p>
        </w:tc>
        <w:tc>
          <w:tcPr>
            <w:tcW w:w="3124" w:type="dxa"/>
          </w:tcPr>
          <w:p w14:paraId="18D4C0A4">
            <w:pPr>
              <w:spacing w:before="28" w:line="290" w:lineRule="exact"/>
              <w:ind w:left="1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position w:val="1"/>
                <w:sz w:val="22"/>
                <w:szCs w:val="22"/>
              </w:rPr>
              <w:t>203</w:t>
            </w:r>
            <w:r>
              <w:rPr>
                <w:rFonts w:ascii="仿宋" w:hAnsi="仿宋" w:eastAsia="仿宋" w:cs="仿宋"/>
                <w:spacing w:val="-1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position w:val="1"/>
                <w:sz w:val="22"/>
                <w:szCs w:val="22"/>
              </w:rPr>
              <w:t>国防支出</w:t>
            </w:r>
          </w:p>
        </w:tc>
        <w:tc>
          <w:tcPr>
            <w:tcW w:w="2031" w:type="dxa"/>
          </w:tcPr>
          <w:p w14:paraId="35BF4F7C">
            <w:pPr>
              <w:pStyle w:val="6"/>
            </w:pPr>
          </w:p>
        </w:tc>
      </w:tr>
      <w:tr w14:paraId="721A9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03" w:type="dxa"/>
          </w:tcPr>
          <w:p w14:paraId="395684BA">
            <w:pPr>
              <w:spacing w:before="28" w:line="312" w:lineRule="exact"/>
              <w:ind w:left="12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position w:val="2"/>
                <w:sz w:val="22"/>
                <w:szCs w:val="22"/>
              </w:rPr>
              <w:t>4</w:t>
            </w:r>
          </w:p>
        </w:tc>
        <w:tc>
          <w:tcPr>
            <w:tcW w:w="1474" w:type="dxa"/>
          </w:tcPr>
          <w:p w14:paraId="6A5A37E1">
            <w:pPr>
              <w:pStyle w:val="6"/>
            </w:pPr>
          </w:p>
        </w:tc>
        <w:tc>
          <w:tcPr>
            <w:tcW w:w="1589" w:type="dxa"/>
          </w:tcPr>
          <w:p w14:paraId="7D9EA325">
            <w:pPr>
              <w:pStyle w:val="6"/>
            </w:pPr>
          </w:p>
        </w:tc>
        <w:tc>
          <w:tcPr>
            <w:tcW w:w="3124" w:type="dxa"/>
          </w:tcPr>
          <w:p w14:paraId="75C7F00D">
            <w:pPr>
              <w:spacing w:before="28" w:line="290" w:lineRule="exact"/>
              <w:ind w:left="1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2"/>
                <w:szCs w:val="22"/>
              </w:rPr>
              <w:t>204</w:t>
            </w:r>
            <w:r>
              <w:rPr>
                <w:rFonts w:ascii="仿宋" w:hAnsi="仿宋" w:eastAsia="仿宋" w:cs="仿宋"/>
                <w:spacing w:val="-4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position w:val="1"/>
                <w:sz w:val="22"/>
                <w:szCs w:val="22"/>
              </w:rPr>
              <w:t>公共安全支出</w:t>
            </w:r>
          </w:p>
        </w:tc>
        <w:tc>
          <w:tcPr>
            <w:tcW w:w="2031" w:type="dxa"/>
          </w:tcPr>
          <w:p w14:paraId="4C417560">
            <w:pPr>
              <w:pStyle w:val="6"/>
            </w:pPr>
          </w:p>
        </w:tc>
      </w:tr>
      <w:tr w14:paraId="5B46B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03" w:type="dxa"/>
          </w:tcPr>
          <w:p w14:paraId="6DB28E32">
            <w:pPr>
              <w:spacing w:before="28" w:line="311" w:lineRule="exact"/>
              <w:ind w:left="12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position w:val="2"/>
                <w:sz w:val="22"/>
                <w:szCs w:val="22"/>
              </w:rPr>
              <w:t>5</w:t>
            </w:r>
          </w:p>
        </w:tc>
        <w:tc>
          <w:tcPr>
            <w:tcW w:w="1474" w:type="dxa"/>
          </w:tcPr>
          <w:p w14:paraId="45263B7E">
            <w:pPr>
              <w:pStyle w:val="6"/>
            </w:pPr>
          </w:p>
        </w:tc>
        <w:tc>
          <w:tcPr>
            <w:tcW w:w="1589" w:type="dxa"/>
          </w:tcPr>
          <w:p w14:paraId="4AA913B0">
            <w:pPr>
              <w:pStyle w:val="6"/>
            </w:pPr>
          </w:p>
        </w:tc>
        <w:tc>
          <w:tcPr>
            <w:tcW w:w="3124" w:type="dxa"/>
          </w:tcPr>
          <w:p w14:paraId="0AFFA8D5">
            <w:pPr>
              <w:spacing w:before="28" w:line="242" w:lineRule="auto"/>
              <w:ind w:left="1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205</w:t>
            </w:r>
            <w:r>
              <w:rPr>
                <w:rFonts w:ascii="仿宋" w:hAnsi="仿宋" w:eastAsia="仿宋" w:cs="仿宋"/>
                <w:spacing w:val="-39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教育支出</w:t>
            </w:r>
          </w:p>
        </w:tc>
        <w:tc>
          <w:tcPr>
            <w:tcW w:w="2031" w:type="dxa"/>
            <w:vAlign w:val="center"/>
          </w:tcPr>
          <w:p w14:paraId="09ADE322">
            <w:pPr>
              <w:pStyle w:val="6"/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0.1994</w:t>
            </w:r>
          </w:p>
        </w:tc>
      </w:tr>
      <w:tr w14:paraId="4A5C8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03" w:type="dxa"/>
          </w:tcPr>
          <w:p w14:paraId="26266ACA">
            <w:pPr>
              <w:spacing w:before="134" w:line="154" w:lineRule="exact"/>
              <w:ind w:left="1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position w:val="-9"/>
                <w:sz w:val="22"/>
                <w:szCs w:val="22"/>
              </w:rPr>
              <w:t>…</w:t>
            </w:r>
          </w:p>
        </w:tc>
        <w:tc>
          <w:tcPr>
            <w:tcW w:w="1474" w:type="dxa"/>
          </w:tcPr>
          <w:p w14:paraId="730E0E98">
            <w:pPr>
              <w:pStyle w:val="6"/>
            </w:pPr>
          </w:p>
        </w:tc>
        <w:tc>
          <w:tcPr>
            <w:tcW w:w="1589" w:type="dxa"/>
          </w:tcPr>
          <w:p w14:paraId="7CEB109E">
            <w:pPr>
              <w:pStyle w:val="6"/>
            </w:pPr>
          </w:p>
        </w:tc>
        <w:tc>
          <w:tcPr>
            <w:tcW w:w="3124" w:type="dxa"/>
          </w:tcPr>
          <w:p w14:paraId="7C536883">
            <w:pPr>
              <w:spacing w:before="29" w:line="242" w:lineRule="auto"/>
              <w:ind w:left="1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206</w:t>
            </w:r>
            <w:r>
              <w:rPr>
                <w:rFonts w:ascii="仿宋" w:hAnsi="仿宋" w:eastAsia="仿宋" w:cs="仿宋"/>
                <w:spacing w:val="-30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科学技术支出</w:t>
            </w:r>
          </w:p>
        </w:tc>
        <w:tc>
          <w:tcPr>
            <w:tcW w:w="2031" w:type="dxa"/>
          </w:tcPr>
          <w:p w14:paraId="289F9D24">
            <w:pPr>
              <w:pStyle w:val="6"/>
            </w:pPr>
          </w:p>
        </w:tc>
      </w:tr>
      <w:tr w14:paraId="627F7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03" w:type="dxa"/>
          </w:tcPr>
          <w:p w14:paraId="39FC302A">
            <w:pPr>
              <w:pStyle w:val="6"/>
            </w:pPr>
          </w:p>
        </w:tc>
        <w:tc>
          <w:tcPr>
            <w:tcW w:w="1474" w:type="dxa"/>
          </w:tcPr>
          <w:p w14:paraId="1633BBE1">
            <w:pPr>
              <w:pStyle w:val="6"/>
            </w:pPr>
          </w:p>
        </w:tc>
        <w:tc>
          <w:tcPr>
            <w:tcW w:w="1589" w:type="dxa"/>
          </w:tcPr>
          <w:p w14:paraId="44C16588">
            <w:pPr>
              <w:pStyle w:val="6"/>
            </w:pPr>
          </w:p>
        </w:tc>
        <w:tc>
          <w:tcPr>
            <w:tcW w:w="3124" w:type="dxa"/>
          </w:tcPr>
          <w:p w14:paraId="5BCE23BF">
            <w:pPr>
              <w:spacing w:before="29"/>
              <w:ind w:left="118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  <w:lang w:eastAsia="zh-CN"/>
              </w:rPr>
              <w:t>207</w:t>
            </w:r>
            <w:r>
              <w:rPr>
                <w:rFonts w:ascii="仿宋" w:hAnsi="仿宋" w:eastAsia="仿宋" w:cs="仿宋"/>
                <w:spacing w:val="-24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  <w:lang w:eastAsia="zh-CN"/>
              </w:rPr>
              <w:t>文化旅游体育与传媒支出</w:t>
            </w:r>
          </w:p>
        </w:tc>
        <w:tc>
          <w:tcPr>
            <w:tcW w:w="2031" w:type="dxa"/>
          </w:tcPr>
          <w:p w14:paraId="4D611F1E">
            <w:pPr>
              <w:pStyle w:val="6"/>
              <w:rPr>
                <w:lang w:eastAsia="zh-CN"/>
              </w:rPr>
            </w:pPr>
          </w:p>
        </w:tc>
      </w:tr>
      <w:tr w14:paraId="3ED3E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03" w:type="dxa"/>
          </w:tcPr>
          <w:p w14:paraId="2C0F3187">
            <w:pPr>
              <w:pStyle w:val="6"/>
              <w:rPr>
                <w:lang w:eastAsia="zh-CN"/>
              </w:rPr>
            </w:pPr>
          </w:p>
        </w:tc>
        <w:tc>
          <w:tcPr>
            <w:tcW w:w="1474" w:type="dxa"/>
          </w:tcPr>
          <w:p w14:paraId="7E510348">
            <w:pPr>
              <w:pStyle w:val="6"/>
              <w:rPr>
                <w:lang w:eastAsia="zh-CN"/>
              </w:rPr>
            </w:pPr>
          </w:p>
        </w:tc>
        <w:tc>
          <w:tcPr>
            <w:tcW w:w="1589" w:type="dxa"/>
          </w:tcPr>
          <w:p w14:paraId="4B474A36">
            <w:pPr>
              <w:pStyle w:val="6"/>
              <w:rPr>
                <w:lang w:eastAsia="zh-CN"/>
              </w:rPr>
            </w:pPr>
          </w:p>
        </w:tc>
        <w:tc>
          <w:tcPr>
            <w:tcW w:w="3124" w:type="dxa"/>
          </w:tcPr>
          <w:p w14:paraId="668CE933">
            <w:pPr>
              <w:spacing w:before="27"/>
              <w:ind w:left="1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208</w:t>
            </w:r>
            <w:r>
              <w:rPr>
                <w:rFonts w:ascii="仿宋" w:hAnsi="仿宋" w:eastAsia="仿宋" w:cs="仿宋"/>
                <w:spacing w:val="-42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社会保障和就业支出</w:t>
            </w:r>
          </w:p>
        </w:tc>
        <w:tc>
          <w:tcPr>
            <w:tcW w:w="2031" w:type="dxa"/>
          </w:tcPr>
          <w:p w14:paraId="0FF7CB85">
            <w:pPr>
              <w:pStyle w:val="6"/>
            </w:pPr>
          </w:p>
        </w:tc>
      </w:tr>
      <w:tr w14:paraId="194B8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03" w:type="dxa"/>
          </w:tcPr>
          <w:p w14:paraId="42EDCA39">
            <w:pPr>
              <w:pStyle w:val="6"/>
            </w:pPr>
          </w:p>
        </w:tc>
        <w:tc>
          <w:tcPr>
            <w:tcW w:w="1474" w:type="dxa"/>
          </w:tcPr>
          <w:p w14:paraId="6B47FC30">
            <w:pPr>
              <w:pStyle w:val="6"/>
            </w:pPr>
          </w:p>
        </w:tc>
        <w:tc>
          <w:tcPr>
            <w:tcW w:w="1589" w:type="dxa"/>
          </w:tcPr>
          <w:p w14:paraId="5135ABF2">
            <w:pPr>
              <w:pStyle w:val="6"/>
            </w:pPr>
          </w:p>
        </w:tc>
        <w:tc>
          <w:tcPr>
            <w:tcW w:w="3124" w:type="dxa"/>
          </w:tcPr>
          <w:p w14:paraId="3459AA10">
            <w:pPr>
              <w:spacing w:before="27" w:line="242" w:lineRule="auto"/>
              <w:ind w:left="1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210</w:t>
            </w:r>
            <w:r>
              <w:rPr>
                <w:rFonts w:ascii="仿宋" w:hAnsi="仿宋" w:eastAsia="仿宋" w:cs="仿宋"/>
                <w:spacing w:val="-30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卫生健康支出</w:t>
            </w:r>
          </w:p>
        </w:tc>
        <w:tc>
          <w:tcPr>
            <w:tcW w:w="2031" w:type="dxa"/>
          </w:tcPr>
          <w:p w14:paraId="068E6B83">
            <w:pPr>
              <w:pStyle w:val="6"/>
            </w:pPr>
          </w:p>
        </w:tc>
      </w:tr>
      <w:tr w14:paraId="55C2F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03" w:type="dxa"/>
          </w:tcPr>
          <w:p w14:paraId="3F468A58">
            <w:pPr>
              <w:pStyle w:val="6"/>
            </w:pPr>
          </w:p>
        </w:tc>
        <w:tc>
          <w:tcPr>
            <w:tcW w:w="1474" w:type="dxa"/>
          </w:tcPr>
          <w:p w14:paraId="72DB9129">
            <w:pPr>
              <w:pStyle w:val="6"/>
            </w:pPr>
          </w:p>
        </w:tc>
        <w:tc>
          <w:tcPr>
            <w:tcW w:w="1589" w:type="dxa"/>
          </w:tcPr>
          <w:p w14:paraId="0831AE37">
            <w:pPr>
              <w:pStyle w:val="6"/>
            </w:pPr>
          </w:p>
        </w:tc>
        <w:tc>
          <w:tcPr>
            <w:tcW w:w="3124" w:type="dxa"/>
          </w:tcPr>
          <w:p w14:paraId="448FC8A8">
            <w:pPr>
              <w:spacing w:before="28"/>
              <w:ind w:left="1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5"/>
                <w:sz w:val="22"/>
                <w:szCs w:val="22"/>
              </w:rPr>
              <w:t>211节能环保支出</w:t>
            </w:r>
          </w:p>
        </w:tc>
        <w:tc>
          <w:tcPr>
            <w:tcW w:w="2031" w:type="dxa"/>
          </w:tcPr>
          <w:p w14:paraId="3B47343A">
            <w:pPr>
              <w:pStyle w:val="6"/>
            </w:pPr>
          </w:p>
        </w:tc>
      </w:tr>
      <w:tr w14:paraId="54E42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03" w:type="dxa"/>
          </w:tcPr>
          <w:p w14:paraId="60BAFF35">
            <w:pPr>
              <w:pStyle w:val="6"/>
            </w:pPr>
          </w:p>
        </w:tc>
        <w:tc>
          <w:tcPr>
            <w:tcW w:w="1474" w:type="dxa"/>
          </w:tcPr>
          <w:p w14:paraId="5E0A686F">
            <w:pPr>
              <w:pStyle w:val="6"/>
            </w:pPr>
          </w:p>
        </w:tc>
        <w:tc>
          <w:tcPr>
            <w:tcW w:w="1589" w:type="dxa"/>
          </w:tcPr>
          <w:p w14:paraId="7A56D1E6">
            <w:pPr>
              <w:pStyle w:val="6"/>
            </w:pPr>
          </w:p>
        </w:tc>
        <w:tc>
          <w:tcPr>
            <w:tcW w:w="3124" w:type="dxa"/>
          </w:tcPr>
          <w:p w14:paraId="2855DDAE">
            <w:pPr>
              <w:spacing w:before="27" w:line="290" w:lineRule="exact"/>
              <w:ind w:left="1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2"/>
                <w:szCs w:val="22"/>
              </w:rPr>
              <w:t>212</w:t>
            </w:r>
            <w:r>
              <w:rPr>
                <w:rFonts w:ascii="仿宋" w:hAnsi="仿宋" w:eastAsia="仿宋" w:cs="仿宋"/>
                <w:spacing w:val="-3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position w:val="1"/>
                <w:sz w:val="22"/>
                <w:szCs w:val="22"/>
              </w:rPr>
              <w:t>城乡社区支出</w:t>
            </w:r>
          </w:p>
        </w:tc>
        <w:tc>
          <w:tcPr>
            <w:tcW w:w="2031" w:type="dxa"/>
          </w:tcPr>
          <w:p w14:paraId="52C632D9">
            <w:pPr>
              <w:pStyle w:val="6"/>
            </w:pPr>
          </w:p>
        </w:tc>
      </w:tr>
      <w:tr w14:paraId="1ED36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03" w:type="dxa"/>
          </w:tcPr>
          <w:p w14:paraId="2026AB2E">
            <w:pPr>
              <w:pStyle w:val="6"/>
            </w:pPr>
          </w:p>
        </w:tc>
        <w:tc>
          <w:tcPr>
            <w:tcW w:w="1474" w:type="dxa"/>
          </w:tcPr>
          <w:p w14:paraId="6E0E4FE8">
            <w:pPr>
              <w:pStyle w:val="6"/>
            </w:pPr>
          </w:p>
        </w:tc>
        <w:tc>
          <w:tcPr>
            <w:tcW w:w="1589" w:type="dxa"/>
          </w:tcPr>
          <w:p w14:paraId="08357ADC">
            <w:pPr>
              <w:pStyle w:val="6"/>
            </w:pPr>
          </w:p>
        </w:tc>
        <w:tc>
          <w:tcPr>
            <w:tcW w:w="3124" w:type="dxa"/>
          </w:tcPr>
          <w:p w14:paraId="654A1A9F">
            <w:pPr>
              <w:spacing w:before="28" w:line="242" w:lineRule="auto"/>
              <w:ind w:left="1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213</w:t>
            </w:r>
            <w:r>
              <w:rPr>
                <w:rFonts w:ascii="仿宋" w:hAnsi="仿宋" w:eastAsia="仿宋" w:cs="仿宋"/>
                <w:spacing w:val="-34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农林水支出</w:t>
            </w:r>
          </w:p>
        </w:tc>
        <w:tc>
          <w:tcPr>
            <w:tcW w:w="2031" w:type="dxa"/>
          </w:tcPr>
          <w:p w14:paraId="40C44BD1">
            <w:pPr>
              <w:pStyle w:val="6"/>
            </w:pPr>
          </w:p>
        </w:tc>
      </w:tr>
      <w:tr w14:paraId="6B718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03" w:type="dxa"/>
          </w:tcPr>
          <w:p w14:paraId="487B87C2">
            <w:pPr>
              <w:pStyle w:val="6"/>
            </w:pPr>
          </w:p>
        </w:tc>
        <w:tc>
          <w:tcPr>
            <w:tcW w:w="1474" w:type="dxa"/>
          </w:tcPr>
          <w:p w14:paraId="0B80772E">
            <w:pPr>
              <w:pStyle w:val="6"/>
            </w:pPr>
          </w:p>
        </w:tc>
        <w:tc>
          <w:tcPr>
            <w:tcW w:w="1589" w:type="dxa"/>
          </w:tcPr>
          <w:p w14:paraId="22467B06">
            <w:pPr>
              <w:pStyle w:val="6"/>
            </w:pPr>
          </w:p>
        </w:tc>
        <w:tc>
          <w:tcPr>
            <w:tcW w:w="3124" w:type="dxa"/>
          </w:tcPr>
          <w:p w14:paraId="0D296FB3">
            <w:pPr>
              <w:spacing w:before="28" w:line="290" w:lineRule="exact"/>
              <w:ind w:left="1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2"/>
                <w:szCs w:val="22"/>
              </w:rPr>
              <w:t>214</w:t>
            </w:r>
            <w:r>
              <w:rPr>
                <w:rFonts w:ascii="仿宋" w:hAnsi="仿宋" w:eastAsia="仿宋" w:cs="仿宋"/>
                <w:spacing w:val="-3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position w:val="1"/>
                <w:sz w:val="22"/>
                <w:szCs w:val="22"/>
              </w:rPr>
              <w:t>交通运输支出</w:t>
            </w:r>
          </w:p>
        </w:tc>
        <w:tc>
          <w:tcPr>
            <w:tcW w:w="2031" w:type="dxa"/>
          </w:tcPr>
          <w:p w14:paraId="3FE2E5C0">
            <w:pPr>
              <w:pStyle w:val="6"/>
            </w:pPr>
          </w:p>
        </w:tc>
      </w:tr>
      <w:tr w14:paraId="5E0F9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03" w:type="dxa"/>
          </w:tcPr>
          <w:p w14:paraId="73CEF124">
            <w:pPr>
              <w:pStyle w:val="6"/>
            </w:pPr>
          </w:p>
        </w:tc>
        <w:tc>
          <w:tcPr>
            <w:tcW w:w="1474" w:type="dxa"/>
          </w:tcPr>
          <w:p w14:paraId="0479EA76">
            <w:pPr>
              <w:pStyle w:val="6"/>
            </w:pPr>
          </w:p>
        </w:tc>
        <w:tc>
          <w:tcPr>
            <w:tcW w:w="1589" w:type="dxa"/>
          </w:tcPr>
          <w:p w14:paraId="1E01627A">
            <w:pPr>
              <w:pStyle w:val="6"/>
            </w:pPr>
          </w:p>
        </w:tc>
        <w:tc>
          <w:tcPr>
            <w:tcW w:w="3124" w:type="dxa"/>
          </w:tcPr>
          <w:p w14:paraId="17A525EB">
            <w:pPr>
              <w:spacing w:before="28" w:line="241" w:lineRule="auto"/>
              <w:ind w:left="1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215</w:t>
            </w:r>
            <w:r>
              <w:rPr>
                <w:rFonts w:ascii="仿宋" w:hAnsi="仿宋" w:eastAsia="仿宋" w:cs="仿宋"/>
                <w:spacing w:val="-30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资源勘探信息等支出</w:t>
            </w:r>
          </w:p>
        </w:tc>
        <w:tc>
          <w:tcPr>
            <w:tcW w:w="2031" w:type="dxa"/>
          </w:tcPr>
          <w:p w14:paraId="56DE3C9F">
            <w:pPr>
              <w:pStyle w:val="6"/>
            </w:pPr>
          </w:p>
        </w:tc>
      </w:tr>
      <w:tr w14:paraId="6D0D3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03" w:type="dxa"/>
          </w:tcPr>
          <w:p w14:paraId="7ED7662C">
            <w:pPr>
              <w:pStyle w:val="6"/>
            </w:pPr>
          </w:p>
        </w:tc>
        <w:tc>
          <w:tcPr>
            <w:tcW w:w="1474" w:type="dxa"/>
          </w:tcPr>
          <w:p w14:paraId="691AB0C3">
            <w:pPr>
              <w:pStyle w:val="6"/>
            </w:pPr>
          </w:p>
        </w:tc>
        <w:tc>
          <w:tcPr>
            <w:tcW w:w="1589" w:type="dxa"/>
          </w:tcPr>
          <w:p w14:paraId="4495CF21">
            <w:pPr>
              <w:pStyle w:val="6"/>
            </w:pPr>
          </w:p>
        </w:tc>
        <w:tc>
          <w:tcPr>
            <w:tcW w:w="3124" w:type="dxa"/>
          </w:tcPr>
          <w:p w14:paraId="44611A3B">
            <w:pPr>
              <w:spacing w:before="28" w:line="242" w:lineRule="auto"/>
              <w:ind w:left="1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216</w:t>
            </w:r>
            <w:r>
              <w:rPr>
                <w:rFonts w:ascii="仿宋" w:hAnsi="仿宋" w:eastAsia="仿宋" w:cs="仿宋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商业服务业等支出</w:t>
            </w:r>
          </w:p>
        </w:tc>
        <w:tc>
          <w:tcPr>
            <w:tcW w:w="2031" w:type="dxa"/>
          </w:tcPr>
          <w:p w14:paraId="250CC78F">
            <w:pPr>
              <w:pStyle w:val="6"/>
            </w:pPr>
          </w:p>
        </w:tc>
      </w:tr>
      <w:tr w14:paraId="55300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03" w:type="dxa"/>
          </w:tcPr>
          <w:p w14:paraId="204AD784">
            <w:pPr>
              <w:pStyle w:val="6"/>
            </w:pPr>
          </w:p>
        </w:tc>
        <w:tc>
          <w:tcPr>
            <w:tcW w:w="1474" w:type="dxa"/>
          </w:tcPr>
          <w:p w14:paraId="03172A75">
            <w:pPr>
              <w:pStyle w:val="6"/>
            </w:pPr>
          </w:p>
        </w:tc>
        <w:tc>
          <w:tcPr>
            <w:tcW w:w="1589" w:type="dxa"/>
          </w:tcPr>
          <w:p w14:paraId="0E972066">
            <w:pPr>
              <w:pStyle w:val="6"/>
            </w:pPr>
          </w:p>
        </w:tc>
        <w:tc>
          <w:tcPr>
            <w:tcW w:w="3124" w:type="dxa"/>
          </w:tcPr>
          <w:p w14:paraId="72BE800F">
            <w:pPr>
              <w:spacing w:before="29" w:line="290" w:lineRule="exact"/>
              <w:ind w:left="1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position w:val="1"/>
                <w:sz w:val="22"/>
                <w:szCs w:val="22"/>
              </w:rPr>
              <w:t>217</w:t>
            </w:r>
            <w:r>
              <w:rPr>
                <w:rFonts w:ascii="仿宋" w:hAnsi="仿宋" w:eastAsia="仿宋" w:cs="仿宋"/>
                <w:spacing w:val="-3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position w:val="1"/>
                <w:sz w:val="22"/>
                <w:szCs w:val="22"/>
              </w:rPr>
              <w:t>金融支出</w:t>
            </w:r>
          </w:p>
        </w:tc>
        <w:tc>
          <w:tcPr>
            <w:tcW w:w="2031" w:type="dxa"/>
          </w:tcPr>
          <w:p w14:paraId="59A7F8DA">
            <w:pPr>
              <w:pStyle w:val="6"/>
            </w:pPr>
          </w:p>
        </w:tc>
      </w:tr>
      <w:tr w14:paraId="6431F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03" w:type="dxa"/>
          </w:tcPr>
          <w:p w14:paraId="2A25CA73">
            <w:pPr>
              <w:pStyle w:val="6"/>
            </w:pPr>
          </w:p>
        </w:tc>
        <w:tc>
          <w:tcPr>
            <w:tcW w:w="1474" w:type="dxa"/>
          </w:tcPr>
          <w:p w14:paraId="31F89F5B">
            <w:pPr>
              <w:pStyle w:val="6"/>
            </w:pPr>
          </w:p>
        </w:tc>
        <w:tc>
          <w:tcPr>
            <w:tcW w:w="1589" w:type="dxa"/>
          </w:tcPr>
          <w:p w14:paraId="405E05E6">
            <w:pPr>
              <w:pStyle w:val="6"/>
            </w:pPr>
          </w:p>
        </w:tc>
        <w:tc>
          <w:tcPr>
            <w:tcW w:w="3124" w:type="dxa"/>
          </w:tcPr>
          <w:p w14:paraId="49E14920">
            <w:pPr>
              <w:spacing w:before="29" w:line="241" w:lineRule="auto"/>
              <w:ind w:left="1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219</w:t>
            </w:r>
            <w:r>
              <w:rPr>
                <w:rFonts w:ascii="仿宋" w:hAnsi="仿宋" w:eastAsia="仿宋" w:cs="仿宋"/>
                <w:spacing w:val="-33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援助其他地区支出</w:t>
            </w:r>
          </w:p>
        </w:tc>
        <w:tc>
          <w:tcPr>
            <w:tcW w:w="2031" w:type="dxa"/>
          </w:tcPr>
          <w:p w14:paraId="4BFD2911">
            <w:pPr>
              <w:pStyle w:val="6"/>
            </w:pPr>
          </w:p>
        </w:tc>
      </w:tr>
      <w:tr w14:paraId="735FD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03" w:type="dxa"/>
          </w:tcPr>
          <w:p w14:paraId="5726AD26">
            <w:pPr>
              <w:pStyle w:val="6"/>
            </w:pPr>
          </w:p>
        </w:tc>
        <w:tc>
          <w:tcPr>
            <w:tcW w:w="1474" w:type="dxa"/>
          </w:tcPr>
          <w:p w14:paraId="3BFA1E85">
            <w:pPr>
              <w:pStyle w:val="6"/>
            </w:pPr>
          </w:p>
        </w:tc>
        <w:tc>
          <w:tcPr>
            <w:tcW w:w="1589" w:type="dxa"/>
          </w:tcPr>
          <w:p w14:paraId="720EAEA9">
            <w:pPr>
              <w:pStyle w:val="6"/>
            </w:pPr>
          </w:p>
        </w:tc>
        <w:tc>
          <w:tcPr>
            <w:tcW w:w="3124" w:type="dxa"/>
          </w:tcPr>
          <w:p w14:paraId="2ACD4DE0">
            <w:pPr>
              <w:spacing w:before="31"/>
              <w:ind w:left="118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  <w:lang w:eastAsia="zh-CN"/>
              </w:rPr>
              <w:t>220 自然资源海洋气象等支出</w:t>
            </w:r>
          </w:p>
        </w:tc>
        <w:tc>
          <w:tcPr>
            <w:tcW w:w="2031" w:type="dxa"/>
          </w:tcPr>
          <w:p w14:paraId="0BEC3CD1">
            <w:pPr>
              <w:pStyle w:val="6"/>
              <w:rPr>
                <w:lang w:eastAsia="zh-CN"/>
              </w:rPr>
            </w:pPr>
          </w:p>
        </w:tc>
      </w:tr>
      <w:tr w14:paraId="7C47D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03" w:type="dxa"/>
          </w:tcPr>
          <w:p w14:paraId="4A59161A">
            <w:pPr>
              <w:pStyle w:val="6"/>
              <w:rPr>
                <w:lang w:eastAsia="zh-CN"/>
              </w:rPr>
            </w:pPr>
          </w:p>
        </w:tc>
        <w:tc>
          <w:tcPr>
            <w:tcW w:w="1474" w:type="dxa"/>
          </w:tcPr>
          <w:p w14:paraId="44496AD6">
            <w:pPr>
              <w:pStyle w:val="6"/>
              <w:rPr>
                <w:lang w:eastAsia="zh-CN"/>
              </w:rPr>
            </w:pPr>
          </w:p>
        </w:tc>
        <w:tc>
          <w:tcPr>
            <w:tcW w:w="1589" w:type="dxa"/>
          </w:tcPr>
          <w:p w14:paraId="32AB6E6C">
            <w:pPr>
              <w:pStyle w:val="6"/>
              <w:rPr>
                <w:lang w:eastAsia="zh-CN"/>
              </w:rPr>
            </w:pPr>
          </w:p>
        </w:tc>
        <w:tc>
          <w:tcPr>
            <w:tcW w:w="3124" w:type="dxa"/>
          </w:tcPr>
          <w:p w14:paraId="661D6016">
            <w:pPr>
              <w:spacing w:before="30" w:line="209" w:lineRule="auto"/>
              <w:ind w:left="1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5"/>
                <w:sz w:val="22"/>
                <w:szCs w:val="22"/>
              </w:rPr>
              <w:t>221住房保障支出</w:t>
            </w:r>
          </w:p>
        </w:tc>
        <w:tc>
          <w:tcPr>
            <w:tcW w:w="2031" w:type="dxa"/>
          </w:tcPr>
          <w:p w14:paraId="74167E2C">
            <w:pPr>
              <w:pStyle w:val="6"/>
            </w:pPr>
          </w:p>
        </w:tc>
      </w:tr>
      <w:tr w14:paraId="509D8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03" w:type="dxa"/>
          </w:tcPr>
          <w:p w14:paraId="046364FD">
            <w:pPr>
              <w:pStyle w:val="6"/>
            </w:pPr>
          </w:p>
        </w:tc>
        <w:tc>
          <w:tcPr>
            <w:tcW w:w="1474" w:type="dxa"/>
          </w:tcPr>
          <w:p w14:paraId="7409E73D">
            <w:pPr>
              <w:pStyle w:val="6"/>
            </w:pPr>
          </w:p>
        </w:tc>
        <w:tc>
          <w:tcPr>
            <w:tcW w:w="1589" w:type="dxa"/>
          </w:tcPr>
          <w:p w14:paraId="4DC681E6">
            <w:pPr>
              <w:pStyle w:val="6"/>
            </w:pPr>
          </w:p>
        </w:tc>
        <w:tc>
          <w:tcPr>
            <w:tcW w:w="3124" w:type="dxa"/>
          </w:tcPr>
          <w:p w14:paraId="4B31588F">
            <w:pPr>
              <w:spacing w:before="30" w:line="209" w:lineRule="auto"/>
              <w:ind w:left="1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222</w:t>
            </w:r>
            <w:r>
              <w:rPr>
                <w:rFonts w:ascii="仿宋" w:hAnsi="仿宋" w:eastAsia="仿宋" w:cs="仿宋"/>
                <w:spacing w:val="-33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粮油物资储备支出</w:t>
            </w:r>
          </w:p>
        </w:tc>
        <w:tc>
          <w:tcPr>
            <w:tcW w:w="2031" w:type="dxa"/>
          </w:tcPr>
          <w:p w14:paraId="5D835E1C">
            <w:pPr>
              <w:pStyle w:val="6"/>
            </w:pPr>
          </w:p>
        </w:tc>
      </w:tr>
      <w:tr w14:paraId="126DA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903" w:type="dxa"/>
          </w:tcPr>
          <w:p w14:paraId="7DE29BFA">
            <w:pPr>
              <w:pStyle w:val="6"/>
            </w:pPr>
          </w:p>
        </w:tc>
        <w:tc>
          <w:tcPr>
            <w:tcW w:w="1474" w:type="dxa"/>
          </w:tcPr>
          <w:p w14:paraId="78FE17B6">
            <w:pPr>
              <w:pStyle w:val="6"/>
            </w:pPr>
          </w:p>
        </w:tc>
        <w:tc>
          <w:tcPr>
            <w:tcW w:w="1589" w:type="dxa"/>
          </w:tcPr>
          <w:p w14:paraId="71D1DD78">
            <w:pPr>
              <w:pStyle w:val="6"/>
            </w:pPr>
          </w:p>
        </w:tc>
        <w:tc>
          <w:tcPr>
            <w:tcW w:w="3124" w:type="dxa"/>
          </w:tcPr>
          <w:p w14:paraId="62D29B82">
            <w:pPr>
              <w:spacing w:before="31" w:line="213" w:lineRule="auto"/>
              <w:ind w:left="118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  <w:lang w:eastAsia="zh-CN"/>
              </w:rPr>
              <w:t>224</w:t>
            </w:r>
            <w:r>
              <w:rPr>
                <w:rFonts w:ascii="仿宋" w:hAnsi="仿宋" w:eastAsia="仿宋" w:cs="仿宋"/>
                <w:spacing w:val="-38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  <w:lang w:eastAsia="zh-CN"/>
              </w:rPr>
              <w:t>灾害防治及应急管理支出</w:t>
            </w:r>
          </w:p>
        </w:tc>
        <w:tc>
          <w:tcPr>
            <w:tcW w:w="2031" w:type="dxa"/>
          </w:tcPr>
          <w:p w14:paraId="25361C4F">
            <w:pPr>
              <w:pStyle w:val="6"/>
              <w:rPr>
                <w:lang w:eastAsia="zh-CN"/>
              </w:rPr>
            </w:pPr>
          </w:p>
        </w:tc>
      </w:tr>
    </w:tbl>
    <w:p w14:paraId="3DB17DD4">
      <w:pPr>
        <w:spacing w:line="260" w:lineRule="auto"/>
        <w:rPr>
          <w:lang w:eastAsia="zh-CN"/>
        </w:rPr>
      </w:pPr>
    </w:p>
    <w:p w14:paraId="10A0E51E">
      <w:pPr>
        <w:kinsoku/>
        <w:autoSpaceDE/>
        <w:autoSpaceDN/>
        <w:adjustRightInd/>
        <w:snapToGrid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491723D1">
      <w:pPr>
        <w:rPr>
          <w:lang w:eastAsia="zh-CN"/>
        </w:rPr>
      </w:pPr>
    </w:p>
    <w:tbl>
      <w:tblPr>
        <w:tblStyle w:val="3"/>
        <w:tblW w:w="5000" w:type="pct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842"/>
        <w:gridCol w:w="2954"/>
        <w:gridCol w:w="1582"/>
        <w:gridCol w:w="1212"/>
        <w:gridCol w:w="2021"/>
        <w:gridCol w:w="1703"/>
        <w:gridCol w:w="3501"/>
        <w:gridCol w:w="1331"/>
        <w:gridCol w:w="3689"/>
        <w:gridCol w:w="1752"/>
      </w:tblGrid>
      <w:tr w14:paraId="72162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righ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E5D7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eastAsia="zh-CN" w:bidi="ar"/>
              </w:rPr>
              <w:t>2024年度预算项目绩效自评表</w:t>
            </w:r>
          </w:p>
        </w:tc>
      </w:tr>
      <w:tr w14:paraId="5F226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right"/>
        </w:trPr>
        <w:tc>
          <w:tcPr>
            <w:tcW w:w="3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AA1E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项目名称</w:t>
            </w:r>
          </w:p>
        </w:tc>
        <w:tc>
          <w:tcPr>
            <w:tcW w:w="13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74A9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直属院校基础设施建设补助(实训综合楼)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62C0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项目编码</w:t>
            </w:r>
          </w:p>
        </w:tc>
        <w:tc>
          <w:tcPr>
            <w:tcW w:w="28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498E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450000230450100033663</w:t>
            </w:r>
          </w:p>
        </w:tc>
      </w:tr>
      <w:tr w14:paraId="1A1B5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right"/>
        </w:trPr>
        <w:tc>
          <w:tcPr>
            <w:tcW w:w="3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DC3F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项目实施单位</w:t>
            </w:r>
          </w:p>
        </w:tc>
        <w:tc>
          <w:tcPr>
            <w:tcW w:w="13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90C2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5010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09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-广西钦州农业学校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5350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主管部门</w:t>
            </w:r>
          </w:p>
        </w:tc>
        <w:tc>
          <w:tcPr>
            <w:tcW w:w="28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8059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501-广西壮族自治区农业农村厅</w:t>
            </w:r>
          </w:p>
        </w:tc>
      </w:tr>
      <w:tr w14:paraId="10FDD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right"/>
        </w:trPr>
        <w:tc>
          <w:tcPr>
            <w:tcW w:w="33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06F4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预算执行情况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(万元)</w:t>
            </w:r>
          </w:p>
        </w:tc>
        <w:tc>
          <w:tcPr>
            <w:tcW w:w="10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D69A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2"/>
                <w:szCs w:val="22"/>
                <w:lang w:eastAsia="zh-CN" w:bidi="ar"/>
              </w:rPr>
              <w:t>资金来源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2463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2"/>
                <w:szCs w:val="22"/>
                <w:lang w:eastAsia="zh-CN" w:bidi="ar"/>
              </w:rPr>
              <w:t>年初预算数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5C69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2"/>
                <w:szCs w:val="22"/>
                <w:lang w:eastAsia="zh-CN" w:bidi="ar"/>
              </w:rPr>
              <w:t>年中预算调整数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3E9F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2"/>
                <w:szCs w:val="22"/>
                <w:lang w:eastAsia="zh-CN" w:bidi="ar"/>
              </w:rPr>
              <w:t>调整后预算数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0D45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2"/>
                <w:szCs w:val="22"/>
                <w:lang w:eastAsia="zh-CN" w:bidi="ar"/>
              </w:rPr>
              <w:t>实际支出数</w:t>
            </w:r>
          </w:p>
        </w:tc>
        <w:tc>
          <w:tcPr>
            <w:tcW w:w="1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8FB5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2"/>
                <w:szCs w:val="22"/>
                <w:lang w:eastAsia="zh-CN" w:bidi="ar"/>
              </w:rPr>
              <w:t>预算执行率(%)</w:t>
            </w:r>
          </w:p>
        </w:tc>
      </w:tr>
      <w:tr w14:paraId="1F767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right"/>
        </w:trPr>
        <w:tc>
          <w:tcPr>
            <w:tcW w:w="33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2D1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AE6A">
            <w:pPr>
              <w:jc w:val="right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 w:bidi="ar"/>
              </w:rPr>
              <w:t>合计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507C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1994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449B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ADBC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1994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71DA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1980.51</w:t>
            </w:r>
          </w:p>
        </w:tc>
        <w:tc>
          <w:tcPr>
            <w:tcW w:w="1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F812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99.32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%</w:t>
            </w:r>
          </w:p>
        </w:tc>
      </w:tr>
      <w:tr w14:paraId="658B1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right"/>
        </w:trPr>
        <w:tc>
          <w:tcPr>
            <w:tcW w:w="33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DE0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30FE">
            <w:pPr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其中：一般公共预算拨款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7B1B">
            <w:pPr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其中: 上级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A10F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0.0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6D4D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0.0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6E65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0.0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4E15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0.0</w:t>
            </w:r>
          </w:p>
        </w:tc>
        <w:tc>
          <w:tcPr>
            <w:tcW w:w="1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2B44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0%</w:t>
            </w:r>
          </w:p>
        </w:tc>
      </w:tr>
      <w:tr w14:paraId="02472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right"/>
        </w:trPr>
        <w:tc>
          <w:tcPr>
            <w:tcW w:w="33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E4E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3B8B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BBA3">
            <w:pPr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 xml:space="preserve">      本级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2411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1994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D404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234D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1994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EA80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1980.51</w:t>
            </w:r>
          </w:p>
        </w:tc>
        <w:tc>
          <w:tcPr>
            <w:tcW w:w="1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569D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99.32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%</w:t>
            </w:r>
          </w:p>
        </w:tc>
      </w:tr>
      <w:tr w14:paraId="54E5A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right"/>
        </w:trPr>
        <w:tc>
          <w:tcPr>
            <w:tcW w:w="33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BF5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FD7D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政府性基金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EAB7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 w:bidi="ar"/>
              </w:rPr>
              <w:t xml:space="preserve"> ——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A6F4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0.0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4C73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0.0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7212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0.0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FEC2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0.0</w:t>
            </w:r>
          </w:p>
        </w:tc>
        <w:tc>
          <w:tcPr>
            <w:tcW w:w="1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D48C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0%</w:t>
            </w:r>
          </w:p>
        </w:tc>
      </w:tr>
      <w:tr w14:paraId="5D548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right"/>
        </w:trPr>
        <w:tc>
          <w:tcPr>
            <w:tcW w:w="33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AD2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CEB9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 xml:space="preserve">  国有资本经营预算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3736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 w:bidi="ar"/>
              </w:rPr>
              <w:t xml:space="preserve"> ——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6DA2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0.0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A54F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0.0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828D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0.0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32C7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0.0</w:t>
            </w:r>
          </w:p>
        </w:tc>
        <w:tc>
          <w:tcPr>
            <w:tcW w:w="1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78C2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0%</w:t>
            </w:r>
          </w:p>
        </w:tc>
      </w:tr>
      <w:tr w14:paraId="02788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right"/>
        </w:trPr>
        <w:tc>
          <w:tcPr>
            <w:tcW w:w="33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749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579F">
            <w:pPr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 xml:space="preserve">      其他资金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8C57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 w:bidi="ar"/>
              </w:rPr>
              <w:t xml:space="preserve"> ——</w:t>
            </w:r>
          </w:p>
        </w:tc>
        <w:tc>
          <w:tcPr>
            <w:tcW w:w="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0CB5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0.0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4365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0.0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54DD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0.0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8BB3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0.0</w:t>
            </w:r>
          </w:p>
        </w:tc>
        <w:tc>
          <w:tcPr>
            <w:tcW w:w="1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118F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0%</w:t>
            </w:r>
          </w:p>
        </w:tc>
      </w:tr>
      <w:tr w14:paraId="5DEB3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right"/>
        </w:trPr>
        <w:tc>
          <w:tcPr>
            <w:tcW w:w="3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C8C1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年度绩效目标</w:t>
            </w:r>
          </w:p>
        </w:tc>
        <w:tc>
          <w:tcPr>
            <w:tcW w:w="466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D408">
            <w:pPr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通过继续开展学校基础设施建设项目—实训综合楼，争取达到广西中等职业学校办学条件建设分级标准Ⅲ级在校舍面积、实训条件和信息化建设等方面的要求。实现学校的发展目标，满足教学需要，急需解决实训楼不足的问题。</w:t>
            </w:r>
          </w:p>
        </w:tc>
      </w:tr>
      <w:tr w14:paraId="253B1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right"/>
        </w:trPr>
        <w:tc>
          <w:tcPr>
            <w:tcW w:w="10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F284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 w:bidi="ar"/>
              </w:rPr>
              <w:t>自评得分（满分100分）</w:t>
            </w:r>
          </w:p>
        </w:tc>
        <w:tc>
          <w:tcPr>
            <w:tcW w:w="6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7306">
            <w:pPr>
              <w:jc w:val="center"/>
              <w:textAlignment w:val="center"/>
              <w:rPr>
                <w:rFonts w:hint="default" w:ascii="仿宋_GB2312" w:eastAsia="仿宋_GB2312" w:cs="仿宋_GB2312"/>
                <w:sz w:val="22"/>
                <w:szCs w:val="22"/>
                <w:lang w:val="en-US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"/>
              </w:rPr>
              <w:t>93.32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4C45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 w:bidi="ar"/>
              </w:rPr>
              <w:t>预算执行（10分）</w:t>
            </w:r>
          </w:p>
        </w:tc>
        <w:tc>
          <w:tcPr>
            <w:tcW w:w="28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B8BA">
            <w:pPr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9.32</w:t>
            </w:r>
          </w:p>
        </w:tc>
      </w:tr>
      <w:tr w14:paraId="0763B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1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D0FE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项目绩效目标衡量指标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7402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2"/>
                <w:szCs w:val="22"/>
                <w:lang w:eastAsia="zh-CN" w:bidi="ar"/>
              </w:rPr>
              <w:t>一级指标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D04A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2"/>
                <w:szCs w:val="22"/>
                <w:lang w:eastAsia="zh-CN" w:bidi="ar"/>
              </w:rPr>
              <w:t>二级指标</w:t>
            </w:r>
          </w:p>
        </w:tc>
        <w:tc>
          <w:tcPr>
            <w:tcW w:w="6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EFE2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2"/>
                <w:szCs w:val="22"/>
                <w:lang w:eastAsia="zh-CN" w:bidi="ar"/>
              </w:rPr>
              <w:t>指标内容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CC15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2"/>
                <w:szCs w:val="22"/>
                <w:lang w:eastAsia="zh-CN" w:bidi="ar"/>
              </w:rPr>
              <w:t>指标值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AEB0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2"/>
                <w:szCs w:val="22"/>
                <w:lang w:eastAsia="zh-CN" w:bidi="ar"/>
              </w:rPr>
              <w:t>分值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5A5A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2"/>
                <w:szCs w:val="22"/>
                <w:lang w:eastAsia="zh-CN" w:bidi="ar"/>
              </w:rPr>
              <w:t>实际完成值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B117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2"/>
                <w:szCs w:val="22"/>
                <w:lang w:eastAsia="zh-CN" w:bidi="ar"/>
              </w:rPr>
              <w:t>指标得分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8C3F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2"/>
                <w:szCs w:val="22"/>
                <w:lang w:eastAsia="zh-CN" w:bidi="ar"/>
              </w:rPr>
              <w:t>完成情况简要描述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DF81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2"/>
                <w:szCs w:val="22"/>
                <w:lang w:eastAsia="zh-CN" w:bidi="ar"/>
              </w:rPr>
              <w:t>偏差原因及改进措施</w:t>
            </w:r>
          </w:p>
        </w:tc>
      </w:tr>
      <w:tr w14:paraId="0F150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right"/>
        </w:trPr>
        <w:tc>
          <w:tcPr>
            <w:tcW w:w="1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BFF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70C5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产出指标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02E8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数量指标</w:t>
            </w:r>
          </w:p>
        </w:tc>
        <w:tc>
          <w:tcPr>
            <w:tcW w:w="6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713C">
            <w:pPr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实训综合楼建筑面积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≥9252.84平方米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7FFA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20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E0C7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9304.76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85D6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20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3A21">
            <w:pPr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按设计的图纸及合同的约定，项目实际建筑面积为9304.76平方米，达到了预期的效果，得满分20分。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664A">
            <w:pPr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 w14:paraId="0FB34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right"/>
        </w:trPr>
        <w:tc>
          <w:tcPr>
            <w:tcW w:w="1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863E">
            <w:pPr>
              <w:jc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5187">
            <w:pPr>
              <w:jc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20E3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质量指标</w:t>
            </w:r>
          </w:p>
        </w:tc>
        <w:tc>
          <w:tcPr>
            <w:tcW w:w="6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79F4">
            <w:pPr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工程竣工验收合格率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6C3B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＝100%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1559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10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A8E0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100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0E0C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60C9">
            <w:pPr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按合同的约定，本项目于2025年4月27日竣工。2024年项目还在施工中，各方面均能按合同的进度施工，已完成年初目标，2024年项目还未竣工验收，应得8分。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ED15">
            <w:pPr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项目跨年度建设，当年尚未竣工验收</w:t>
            </w:r>
          </w:p>
        </w:tc>
      </w:tr>
      <w:tr w14:paraId="2B6DA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right"/>
        </w:trPr>
        <w:tc>
          <w:tcPr>
            <w:tcW w:w="1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5D1B">
            <w:pPr>
              <w:jc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5D02">
            <w:pPr>
              <w:jc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3F5A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时效指标</w:t>
            </w:r>
          </w:p>
        </w:tc>
        <w:tc>
          <w:tcPr>
            <w:tcW w:w="6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0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经费支付及时率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＝100%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E6A4">
            <w:pPr>
              <w:jc w:val="center"/>
              <w:textAlignment w:val="bottom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10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2F70">
            <w:pPr>
              <w:jc w:val="center"/>
              <w:textAlignment w:val="bottom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100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8117">
            <w:pPr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8654">
            <w:pPr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2024年按施工进度及时支付七次工程款，剩余13.5万元结转2025年支，已完成年初目标，得满分10分。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30DF">
            <w:pPr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 w14:paraId="00B44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right"/>
        </w:trPr>
        <w:tc>
          <w:tcPr>
            <w:tcW w:w="1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7771">
            <w:pPr>
              <w:jc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8EA3">
            <w:pPr>
              <w:jc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A6FF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成本指标</w:t>
            </w:r>
          </w:p>
        </w:tc>
        <w:tc>
          <w:tcPr>
            <w:tcW w:w="6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4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≤1994万元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BDC4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10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8346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1980.51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4FCE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10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228C">
            <w:pPr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2024年实际支出1980.51万元，未超出年初目标1994万元，得满分10分。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C11F">
            <w:pPr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 w14:paraId="16EE8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right"/>
        </w:trPr>
        <w:tc>
          <w:tcPr>
            <w:tcW w:w="1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9BB8">
            <w:pPr>
              <w:jc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2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6043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效益指标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3821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社会效益</w:t>
            </w:r>
          </w:p>
        </w:tc>
        <w:tc>
          <w:tcPr>
            <w:tcW w:w="6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8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受益师生数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≥4000人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C9FA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15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2933">
            <w:pPr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4000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0577"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E0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2024年项目未完工，但从整体的设计以及布局安排，建成后受益的师生≥4000人，项目未完工，未实际发挥效益，应得13分。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C599">
            <w:pPr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项目跨年度建设，当年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未实际发挥效益</w:t>
            </w:r>
          </w:p>
        </w:tc>
      </w:tr>
      <w:tr w14:paraId="29DAC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right"/>
        </w:trPr>
        <w:tc>
          <w:tcPr>
            <w:tcW w:w="1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8A4D">
            <w:pPr>
              <w:jc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1069">
            <w:pPr>
              <w:jc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675B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可持续影响</w:t>
            </w:r>
          </w:p>
        </w:tc>
        <w:tc>
          <w:tcPr>
            <w:tcW w:w="6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44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≥5年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CA00">
            <w:pPr>
              <w:jc w:val="center"/>
              <w:textAlignment w:val="bottom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15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3A46">
            <w:pPr>
              <w:jc w:val="center"/>
              <w:textAlignment w:val="bottom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27D4">
            <w:pPr>
              <w:jc w:val="center"/>
              <w:textAlignment w:val="bottom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C283">
            <w:pPr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 xml:space="preserve">根据政府会计准则中固定资产折旧年限中，本项目建成后，能持续使用10年以上，项目未完工，未实际发挥效益，应得13分。 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9020">
            <w:pPr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项目跨年度建设，当年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未实际发挥效益</w:t>
            </w:r>
          </w:p>
        </w:tc>
      </w:tr>
      <w:tr w14:paraId="533F2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right"/>
        </w:trPr>
        <w:tc>
          <w:tcPr>
            <w:tcW w:w="1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5B19">
            <w:pPr>
              <w:jc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45DA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满意度指标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DEEA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服务对象满意度</w:t>
            </w:r>
          </w:p>
        </w:tc>
        <w:tc>
          <w:tcPr>
            <w:tcW w:w="6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F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师生满意度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91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4A61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10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DEAA">
            <w:pPr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9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AD42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10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DB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该项目共向本校师生发出4495份问卷，收回4250份问卷，经统计满意度为94%，达到了年初目标，该指标得满分10分。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0F55">
            <w:pPr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 w14:paraId="009B8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1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654E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自评分析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8318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全年目标完成情况</w:t>
            </w:r>
          </w:p>
        </w:tc>
        <w:tc>
          <w:tcPr>
            <w:tcW w:w="466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7044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通过组织开展学校实训综合楼建设项目：校园建设投资增加1994万元，本项目实际支出1980.5万元，达到了改善办学条件，美化校园等方面的要求。本年度该项目还在施工阶段。</w:t>
            </w:r>
          </w:p>
        </w:tc>
      </w:tr>
      <w:tr w14:paraId="69125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1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81A8">
            <w:pPr>
              <w:jc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6DEC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绩效目标偏离原因分析</w:t>
            </w:r>
          </w:p>
        </w:tc>
        <w:tc>
          <w:tcPr>
            <w:tcW w:w="466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D672">
            <w:pPr>
              <w:jc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 w14:paraId="3C7DE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1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6314E">
            <w:pPr>
              <w:jc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1108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整改措施及建议</w:t>
            </w:r>
          </w:p>
        </w:tc>
        <w:tc>
          <w:tcPr>
            <w:tcW w:w="466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64C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57E1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right"/>
        </w:trPr>
        <w:tc>
          <w:tcPr>
            <w:tcW w:w="1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28E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4E56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其他需说明问题</w:t>
            </w:r>
          </w:p>
        </w:tc>
        <w:tc>
          <w:tcPr>
            <w:tcW w:w="466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0C5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</w:tbl>
    <w:p w14:paraId="0FB5B6E1"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C8"/>
    <w:rsid w:val="00044B8F"/>
    <w:rsid w:val="001056BC"/>
    <w:rsid w:val="005C25C9"/>
    <w:rsid w:val="00A668A0"/>
    <w:rsid w:val="00A75BF1"/>
    <w:rsid w:val="00C24887"/>
    <w:rsid w:val="00D57EC8"/>
    <w:rsid w:val="00FE1B4F"/>
    <w:rsid w:val="19BB58E9"/>
    <w:rsid w:val="1FDB2A52"/>
    <w:rsid w:val="4FB97B74"/>
    <w:rsid w:val="62F06A99"/>
    <w:rsid w:val="683714C6"/>
    <w:rsid w:val="7B27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61"/>
      <w:szCs w:val="61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998</Words>
  <Characters>1267</Characters>
  <Lines>16</Lines>
  <Paragraphs>4</Paragraphs>
  <TotalTime>24</TotalTime>
  <ScaleCrop>false</ScaleCrop>
  <LinksUpToDate>false</LinksUpToDate>
  <CharactersWithSpaces>1329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2025-06-30T23:46:00Z</dcterms:created>
  <dc:creator>LDM</dc:creator>
  <cp:lastModifiedBy>Mitty</cp:lastModifiedBy>
  <dcterms:modified xsi:type="dcterms:W3CDTF">2025-07-01T03:25:24Z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eyJoZGlkIjoiMjYwNTBhMGU3ZGM2ODVkYmU2NDA0ZDlhZDI4M2FmZTciLCJ1c2VySWQiOiIyNTUwNTYyNzQifQ==</vt:lpwstr>
  </property>
  <property fmtid="{D5CDD505-2E9C-101B-9397-08002B2CF9AE}" pid="4" name="ICV">
    <vt:lpwstr>F6D5F0F59C214B998AD82BAD150EFF03_13</vt:lpwstr>
  </property>
</Properties>
</file>